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DD" w:rsidRDefault="00585EDD">
      <w:pPr>
        <w:pBdr>
          <w:top w:val="single" w:sz="4" w:space="1" w:color="auto"/>
          <w:left w:val="single" w:sz="4" w:space="4" w:color="auto"/>
          <w:bottom w:val="single" w:sz="4" w:space="1" w:color="auto"/>
          <w:right w:val="single" w:sz="4" w:space="4" w:color="auto"/>
        </w:pBdr>
        <w:jc w:val="center"/>
        <w:rPr>
          <w:b/>
          <w:bCs/>
          <w:i/>
          <w:iCs/>
          <w:sz w:val="32"/>
          <w:szCs w:val="32"/>
        </w:rPr>
      </w:pPr>
      <w:r>
        <w:rPr>
          <w:b/>
          <w:bCs/>
          <w:i/>
          <w:iCs/>
          <w:sz w:val="32"/>
          <w:szCs w:val="32"/>
        </w:rPr>
        <w:t xml:space="preserve">AVVISO PER L'ASSEGNAZIONE DELLE MISURE FINANZIATE CON IL FONDO PER LA NON AUTOSUFFICIENZA (F.N.A.) A FAVORE DELLE PERSONE CON DISABILITA’ GRAVE O COMUNQUE IN CONDIZIONE DI NON AUTOSUFFICIENZA PREVISTI DALLA MISURA B2 </w:t>
      </w:r>
    </w:p>
    <w:p w:rsidR="00585EDD" w:rsidRDefault="00585ED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Pr>
          <w:b/>
          <w:bCs/>
          <w:i/>
          <w:iCs/>
          <w:sz w:val="32"/>
          <w:szCs w:val="32"/>
        </w:rPr>
        <w:t xml:space="preserve"> DGR N. XI/2720 DEL 23/12/2019 E DGR N. 28/62 DEL 18/02/2020 </w:t>
      </w:r>
    </w:p>
    <w:p w:rsidR="00585EDD" w:rsidRDefault="00585EDD">
      <w:pPr>
        <w:jc w:val="both"/>
        <w:rPr>
          <w:rFonts w:ascii="Times New Roman" w:hAnsi="Times New Roman" w:cs="Times New Roman"/>
          <w:b/>
          <w:bCs/>
        </w:rPr>
      </w:pPr>
    </w:p>
    <w:p w:rsidR="00585EDD" w:rsidRDefault="00585EDD">
      <w:pPr>
        <w:jc w:val="center"/>
        <w:rPr>
          <w:rFonts w:ascii="Times New Roman" w:hAnsi="Times New Roman" w:cs="Times New Roman"/>
          <w:i/>
          <w:iCs/>
        </w:rPr>
      </w:pPr>
      <w:r>
        <w:rPr>
          <w:rFonts w:ascii="Times New Roman" w:hAnsi="Times New Roman" w:cs="Times New Roman"/>
          <w:i/>
          <w:iCs/>
        </w:rPr>
        <w:t>Documento approvato dall’Assemblea dei Sindaci in data 14 maggio 2020</w:t>
      </w:r>
    </w:p>
    <w:p w:rsidR="00585EDD" w:rsidRDefault="00585EDD">
      <w:pPr>
        <w:jc w:val="both"/>
      </w:pPr>
    </w:p>
    <w:p w:rsidR="00585EDD" w:rsidRDefault="00585EDD">
      <w:pPr>
        <w:jc w:val="both"/>
      </w:pPr>
      <w:r>
        <w:t>Premesso che</w:t>
      </w:r>
    </w:p>
    <w:p w:rsidR="00585EDD" w:rsidRDefault="00585EDD">
      <w:pPr>
        <w:jc w:val="both"/>
      </w:pPr>
      <w:r>
        <w:t xml:space="preserve">- con proprie deliberazioni consiliari i Comuni dell’Ambito Territoriale di Suzzara  hanno disposto di costituire l’Azienda Speciale Consortile “AZIENDA SERVIZI ALLA PERSONA DEL TERRITORIO SUZZARESE - SOCIALIS”, approvandone il relativo statuto; </w:t>
      </w:r>
    </w:p>
    <w:p w:rsidR="00585EDD" w:rsidRDefault="00585EDD">
      <w:pPr>
        <w:jc w:val="both"/>
      </w:pPr>
      <w:r>
        <w:t xml:space="preserve">- che l’azienda è stata costituita con atto del vice segretario del Comune di Suzzara n. 7333 rep. in data 27/12/2018 registrato a Suzzara (Estremi registrazione Serie: 1T Numero: 2 del 14/01/2019)           </w:t>
      </w:r>
    </w:p>
    <w:p w:rsidR="00585EDD" w:rsidRDefault="00585EDD">
      <w:pPr>
        <w:jc w:val="both"/>
      </w:pPr>
      <w:r>
        <w:t>- ai sensi dell’art. 4 dello Statuto, la costituzione dell’Azienda Speciale Consortile è finalizzata a all’esercizio di funzioni sociali, assistenziali, educative, socio-sanitarie e sanitarie e, più ingenerale, alla gestione associata dei servizi alla persona mediante:</w:t>
      </w:r>
    </w:p>
    <w:p w:rsidR="00585EDD" w:rsidRDefault="00585EDD">
      <w:pPr>
        <w:jc w:val="both"/>
      </w:pPr>
      <w:r>
        <w:t xml:space="preserve"> a) la gestione associata ed integrata degli interventi e dei servizi sociali in attuazione dei programmi e delle azioni definite nel Piano di Zona; </w:t>
      </w:r>
    </w:p>
    <w:p w:rsidR="00585EDD" w:rsidRDefault="00585EDD">
      <w:pPr>
        <w:jc w:val="both"/>
      </w:pPr>
      <w:r>
        <w:t xml:space="preserve">b) la gestione di servizi alla persona di competenza istituzionale degli Enti consorziati che gli stessi ritengano opportuno conferire all’Azienda, </w:t>
      </w:r>
    </w:p>
    <w:p w:rsidR="00585EDD" w:rsidRDefault="00585EDD">
      <w:pPr>
        <w:jc w:val="both"/>
      </w:pPr>
      <w:r>
        <w:t xml:space="preserve">c) la gestione di ulteriori attività e servizi nel campo sociale, assistenziale, educativo, culturale, sociosanitario e sanitario e nelle aree di intervento legate alla salute e al benessere fisico e psichico dei cittadini, </w:t>
      </w:r>
    </w:p>
    <w:p w:rsidR="00585EDD" w:rsidRDefault="00585EDD">
      <w:pPr>
        <w:jc w:val="both"/>
      </w:pPr>
      <w:r>
        <w:t>d) la gestione di interventi di promozione, formazione, consulenza e orientamento concernenti le attività dell’Azienda, aventi finalità di promozione dei diritti di cittadinanza.</w:t>
      </w:r>
    </w:p>
    <w:p w:rsidR="00585EDD" w:rsidRDefault="00585EDD">
      <w:pPr>
        <w:jc w:val="both"/>
      </w:pPr>
      <w:r>
        <w:t>CONSIDERATO CHE:</w:t>
      </w:r>
    </w:p>
    <w:p w:rsidR="00585EDD" w:rsidRDefault="00585EDD">
      <w:pPr>
        <w:jc w:val="both"/>
      </w:pPr>
      <w:r>
        <w:t xml:space="preserve">In data 30/04/2015 l’Assemblea dei Sindaci ha approvato all’unanimità il Piano di Zona 2016/2018 ed il relativo Accordo di Programma per la sua attuazione; </w:t>
      </w:r>
    </w:p>
    <w:p w:rsidR="00585EDD" w:rsidRDefault="00585EDD">
      <w:pPr>
        <w:jc w:val="both"/>
      </w:pPr>
      <w:r>
        <w:t xml:space="preserve">L’Accordo risulta tutt’ora vigente in regime di proroga ai sensi della DGR n. X/7631 del 28/12/2017 con la quale vengono approvate le “Linee di indirizzo per la programmazione sociale a livello locale 2018/2020”;                       </w:t>
      </w:r>
    </w:p>
    <w:p w:rsidR="00585EDD" w:rsidRDefault="00585EDD">
      <w:pPr>
        <w:jc w:val="both"/>
      </w:pPr>
      <w:r>
        <w:t>Ai sensi di quanto previsto all’art.  8 dell’Accordo di programma per l’attuazione del Piano di Zona 2016/2018 dell’ambito distrettuale di Suzzara, il Comune di Suzzara è stato individuato quale Ente Capofila responsabile per l’esecuzione dell’accordo di programma per l’attuazione del Piano di Zona medesimo;</w:t>
      </w:r>
    </w:p>
    <w:p w:rsidR="00585EDD" w:rsidRDefault="00585EDD">
      <w:pPr>
        <w:jc w:val="both"/>
      </w:pPr>
    </w:p>
    <w:p w:rsidR="00585EDD" w:rsidRDefault="00585EDD">
      <w:pPr>
        <w:jc w:val="both"/>
        <w:rPr>
          <w:rFonts w:ascii="Times New Roman" w:hAnsi="Times New Roman" w:cs="Times New Roman"/>
        </w:rPr>
      </w:pPr>
      <w:r>
        <w:t>L’Azienda Speciale Consortile Servizi alla Persona del territorio suzzarese – SOCIALIS - comunica che il presente Avviso disciplina l’erogazione delle misure a favore delle persone affette da patologie che determinano situazioni di non autosufficienza e per il mantenimento della persona fragile al proprio domicilio. Si tratta di interventi di sostegno e supporto alla persona e alla sua famiglia per garantire una piena possibilità di permanenza della persona fragile al proprio domicilio e nel suo contesto di vita, previa valutazione e predisposizione del progetto individuale.</w:t>
      </w:r>
    </w:p>
    <w:p w:rsidR="00585EDD" w:rsidRDefault="00585EDD">
      <w:pPr>
        <w:jc w:val="both"/>
        <w:rPr>
          <w:rFonts w:ascii="Times New Roman" w:hAnsi="Times New Roman" w:cs="Times New Roman"/>
        </w:rPr>
      </w:pPr>
      <w:r>
        <w:rPr>
          <w:b/>
          <w:bCs/>
        </w:rPr>
        <w:t>1.BENEFICIARI E CRITERI DI ACCESSO</w:t>
      </w:r>
    </w:p>
    <w:p w:rsidR="00585EDD" w:rsidRDefault="00585EDD">
      <w:pPr>
        <w:jc w:val="both"/>
      </w:pPr>
      <w:r>
        <w:t>Sono destinatari della presente misura le persone in possesso di tutti i seguenti requisiti:</w:t>
      </w:r>
    </w:p>
    <w:p w:rsidR="00585EDD" w:rsidRDefault="00585EDD">
      <w:pPr>
        <w:numPr>
          <w:ilvl w:val="0"/>
          <w:numId w:val="3"/>
        </w:numPr>
        <w:jc w:val="both"/>
        <w:rPr>
          <w:rFonts w:ascii="Times New Roman" w:hAnsi="Times New Roman" w:cs="Times New Roman"/>
        </w:rPr>
      </w:pPr>
      <w:r>
        <w:t>essere residente in uno dei Comuni dell’ambito territoriale di Suzzara e vivere al proprio domicilio;</w:t>
      </w:r>
    </w:p>
    <w:p w:rsidR="00585EDD" w:rsidRDefault="00585EDD">
      <w:pPr>
        <w:numPr>
          <w:ilvl w:val="0"/>
          <w:numId w:val="3"/>
        </w:numPr>
        <w:jc w:val="both"/>
        <w:rPr>
          <w:rFonts w:ascii="Times New Roman" w:hAnsi="Times New Roman" w:cs="Times New Roman"/>
        </w:rPr>
      </w:pPr>
      <w:r>
        <w:t>di qualsiasi età, che evidenziano gravi limitazioni della capacità funzionale che compromettono significativamente la loro autosufficienza e autonomia personale nelle attività della vita quotidiana, di relazione e sociale (per chi presenta domanda per la prima volta la condizione verrà valutata utilizzando “ scheda triage” : è ammessa la condizione che ottiene punteggio uguale o superiore a 5);</w:t>
      </w:r>
    </w:p>
    <w:p w:rsidR="00585EDD" w:rsidRDefault="00585EDD">
      <w:pPr>
        <w:numPr>
          <w:ilvl w:val="0"/>
          <w:numId w:val="3"/>
        </w:numPr>
        <w:jc w:val="both"/>
        <w:rPr>
          <w:u w:val="single"/>
        </w:rPr>
      </w:pPr>
      <w:r>
        <w:t xml:space="preserve">in condizione di gravità così come accertata ai sensi dell’art. 3, comma 3 della Legge 104/1992 </w:t>
      </w:r>
      <w:r>
        <w:rPr>
          <w:b/>
          <w:bCs/>
        </w:rPr>
        <w:t>oppure</w:t>
      </w:r>
      <w:r>
        <w:t xml:space="preserve"> beneficiari dell’indennità di accompagnamento di cui alla legge n.18/1980 e successive modificazioni/integrazioni la Legge n. 508/1988 : </w:t>
      </w:r>
      <w:r>
        <w:rPr>
          <w:u w:val="single"/>
        </w:rPr>
        <w:t>la domanda può essere presentata anche in attesa di definizione dell’accertamento;</w:t>
      </w:r>
    </w:p>
    <w:p w:rsidR="00585EDD" w:rsidRDefault="00585EDD">
      <w:pPr>
        <w:numPr>
          <w:ilvl w:val="0"/>
          <w:numId w:val="3"/>
        </w:numPr>
        <w:jc w:val="both"/>
      </w:pPr>
      <w:r>
        <w:t xml:space="preserve">con i seguenti valori ISEE di riferimento: </w:t>
      </w:r>
      <w:r>
        <w:rPr>
          <w:b/>
          <w:bCs/>
        </w:rPr>
        <w:t>ISEE sociosanitario</w:t>
      </w:r>
      <w:r>
        <w:t xml:space="preserve"> fino a un massimo di € 25.000,00  e </w:t>
      </w:r>
      <w:r>
        <w:rPr>
          <w:b/>
          <w:bCs/>
        </w:rPr>
        <w:t>ISEE ordinario in caso di minori</w:t>
      </w:r>
      <w:r>
        <w:t xml:space="preserve"> fino a un massimo di € 40.000,00;</w:t>
      </w:r>
    </w:p>
    <w:p w:rsidR="00585EDD" w:rsidRDefault="00585EDD">
      <w:pPr>
        <w:numPr>
          <w:ilvl w:val="0"/>
          <w:numId w:val="3"/>
        </w:numPr>
        <w:jc w:val="both"/>
      </w:pPr>
      <w:r>
        <w:t>assistiti al proprio domicilio con prestazione assicurata da caregiver famigliare oppure con prestazioni assicurate da persone diverse dai caregiver famigliari, impiegate con un regolare contratto di lavoro (assistente famigliare).</w:t>
      </w:r>
    </w:p>
    <w:p w:rsidR="00585EDD" w:rsidRDefault="00585EDD">
      <w:pPr>
        <w:jc w:val="both"/>
        <w:rPr>
          <w:b/>
          <w:bCs/>
        </w:rPr>
      </w:pPr>
      <w:r>
        <w:rPr>
          <w:b/>
          <w:bCs/>
        </w:rPr>
        <w:t>2. PRESENTAZIONE DELLA DOMANDA</w:t>
      </w:r>
    </w:p>
    <w:p w:rsidR="00585EDD" w:rsidRDefault="00585EDD">
      <w:pPr>
        <w:jc w:val="both"/>
        <w:rPr>
          <w:rStyle w:val="Strong"/>
          <w:rFonts w:ascii="Calibri" w:hAnsi="Calibri" w:cs="Calibri"/>
          <w:b w:val="0"/>
          <w:bCs w:val="0"/>
        </w:rPr>
      </w:pPr>
      <w:r>
        <w:t>La domanda può essere presentata dal _15/05/2020__ al _13/06/2020__ ore 12.</w:t>
      </w:r>
      <w:r>
        <w:rPr>
          <w:rFonts w:ascii="Times New Roman" w:hAnsi="Times New Roman" w:cs="Times New Roman"/>
        </w:rPr>
        <w:t>00</w:t>
      </w:r>
      <w:r>
        <w:t xml:space="preserve">, </w:t>
      </w:r>
      <w:r>
        <w:rPr>
          <w:rStyle w:val="Strong"/>
          <w:rFonts w:ascii="Calibri" w:hAnsi="Calibri" w:cs="Calibri"/>
          <w:color w:val="4C4C4C"/>
          <w:shd w:val="clear" w:color="auto" w:fill="FFFFFF"/>
        </w:rPr>
        <w:t>compilando il form online reperibile al seguente link: www. aziendasocialis.it</w:t>
      </w:r>
    </w:p>
    <w:p w:rsidR="00585EDD" w:rsidRDefault="00585EDD">
      <w:pPr>
        <w:jc w:val="both"/>
        <w:rPr>
          <w:rFonts w:ascii="Times New Roman" w:hAnsi="Times New Roman" w:cs="Times New Roman"/>
        </w:rPr>
      </w:pPr>
      <w:r>
        <w:t xml:space="preserve">Considerate le difficoltà e le prescrizioni dovute alla fase emergenziale del COVID-19, i requisiti  per l’ammissione, così come gli allegati, sono autocertificati  dal richiedente nel modulo della domanda e saranno richiesti e verificati dagli operatori, nei tempi e nei modi che verranno indicati a conclusione dell’emergenza stessa. </w:t>
      </w:r>
    </w:p>
    <w:p w:rsidR="00585EDD" w:rsidRDefault="00585EDD">
      <w:pPr>
        <w:jc w:val="both"/>
        <w:rPr>
          <w:rFonts w:ascii="Times New Roman" w:hAnsi="Times New Roman" w:cs="Times New Roman"/>
        </w:rPr>
      </w:pPr>
      <w:r>
        <w:t>La domanda può essere presentata oltre che dall’interessato, da un familiare o dal legale rappresentante che sottoscrivono anche la scheda triage .</w:t>
      </w:r>
    </w:p>
    <w:p w:rsidR="00585EDD" w:rsidRDefault="00585EDD">
      <w:pPr>
        <w:jc w:val="both"/>
        <w:rPr>
          <w:b/>
          <w:bCs/>
        </w:rPr>
      </w:pPr>
    </w:p>
    <w:p w:rsidR="00585EDD" w:rsidRDefault="00585EDD">
      <w:pPr>
        <w:jc w:val="both"/>
        <w:rPr>
          <w:b/>
          <w:bCs/>
        </w:rPr>
      </w:pPr>
      <w:r>
        <w:rPr>
          <w:b/>
          <w:bCs/>
        </w:rPr>
        <w:t>3. STRUMENTI ATTIVABILI</w:t>
      </w:r>
    </w:p>
    <w:p w:rsidR="00585EDD" w:rsidRDefault="00585EDD">
      <w:pPr>
        <w:jc w:val="both"/>
      </w:pPr>
      <w:r>
        <w:t>All’atto della domanda deve essere indicato l’intervento per cui si chiede il contributo tra quelli indicati nella DGR n</w:t>
      </w:r>
      <w:r>
        <w:rPr>
          <w:rFonts w:ascii="Times New Roman" w:hAnsi="Times New Roman" w:cs="Times New Roman"/>
        </w:rPr>
        <w:t>.</w:t>
      </w:r>
      <w:r>
        <w:t xml:space="preserve"> XI/2720 del 23/12/2019 e successive integrazioni e modificazioni:</w:t>
      </w:r>
    </w:p>
    <w:p w:rsidR="00585EDD" w:rsidRDefault="00585EDD">
      <w:pPr>
        <w:autoSpaceDE w:val="0"/>
        <w:autoSpaceDN w:val="0"/>
        <w:adjustRightInd w:val="0"/>
        <w:spacing w:after="0" w:line="240" w:lineRule="auto"/>
        <w:jc w:val="both"/>
        <w:rPr>
          <w:b/>
          <w:bCs/>
          <w:lang w:eastAsia="it-IT"/>
        </w:rPr>
      </w:pPr>
      <w:r>
        <w:rPr>
          <w:b/>
          <w:bCs/>
          <w:lang w:eastAsia="it-IT"/>
        </w:rPr>
        <w:t>In particolare, in relazione al contributo assegnato si dispongono i seguenti importi assegnabili:</w:t>
      </w:r>
    </w:p>
    <w:p w:rsidR="00585EDD" w:rsidRDefault="00585EDD">
      <w:pPr>
        <w:autoSpaceDE w:val="0"/>
        <w:autoSpaceDN w:val="0"/>
        <w:adjustRightInd w:val="0"/>
        <w:spacing w:after="0" w:line="240" w:lineRule="auto"/>
        <w:jc w:val="both"/>
        <w:rPr>
          <w:b/>
          <w:bCs/>
          <w:lang w:eastAsia="it-IT"/>
        </w:rPr>
      </w:pPr>
    </w:p>
    <w:p w:rsidR="00585EDD" w:rsidRDefault="00585EDD">
      <w:pPr>
        <w:autoSpaceDE w:val="0"/>
        <w:autoSpaceDN w:val="0"/>
        <w:adjustRightInd w:val="0"/>
        <w:spacing w:after="0" w:line="240" w:lineRule="auto"/>
        <w:jc w:val="both"/>
        <w:rPr>
          <w:rFonts w:ascii="Calibri,Bold" w:hAnsi="Calibri,Bold" w:cs="Calibri,Bold"/>
          <w:b/>
          <w:bCs/>
          <w:lang w:eastAsia="it-IT"/>
        </w:rPr>
      </w:pPr>
      <w:r>
        <w:rPr>
          <w:b/>
          <w:bCs/>
          <w:lang w:eastAsia="it-IT"/>
        </w:rPr>
        <w:t>a) Buono sociale mensile</w:t>
      </w:r>
      <w:r>
        <w:rPr>
          <w:lang w:eastAsia="it-IT"/>
        </w:rPr>
        <w:t xml:space="preserve">, anche a diversa intensità, finalizzato a compensare le prestazioni di assistenza assicurate dal </w:t>
      </w:r>
      <w:r>
        <w:rPr>
          <w:b/>
          <w:bCs/>
          <w:lang w:eastAsia="it-IT"/>
        </w:rPr>
        <w:t>caregiver familiare</w:t>
      </w:r>
      <w:r>
        <w:rPr>
          <w:lang w:eastAsia="it-IT"/>
        </w:rPr>
        <w:t xml:space="preserve"> (auto-soddisfacimento) </w:t>
      </w:r>
      <w:r>
        <w:rPr>
          <w:b/>
          <w:bCs/>
          <w:lang w:eastAsia="it-IT"/>
        </w:rPr>
        <w:t>fino ad un importo massimo di € 400,00;</w:t>
      </w:r>
    </w:p>
    <w:p w:rsidR="00585EDD" w:rsidRDefault="00585EDD">
      <w:pPr>
        <w:autoSpaceDE w:val="0"/>
        <w:autoSpaceDN w:val="0"/>
        <w:adjustRightInd w:val="0"/>
        <w:spacing w:after="0" w:line="240" w:lineRule="auto"/>
        <w:ind w:left="360"/>
        <w:jc w:val="both"/>
        <w:rPr>
          <w:rFonts w:ascii="Calibri,Bold" w:hAnsi="Calibri,Bold" w:cs="Calibri,Bold"/>
          <w:b/>
          <w:bCs/>
          <w:lang w:eastAsia="it-IT"/>
        </w:rPr>
      </w:pPr>
    </w:p>
    <w:p w:rsidR="00585EDD" w:rsidRDefault="00585EDD">
      <w:pPr>
        <w:autoSpaceDE w:val="0"/>
        <w:autoSpaceDN w:val="0"/>
        <w:adjustRightInd w:val="0"/>
        <w:spacing w:after="0" w:line="240" w:lineRule="auto"/>
        <w:jc w:val="both"/>
        <w:rPr>
          <w:lang w:eastAsia="it-IT"/>
        </w:rPr>
      </w:pPr>
      <w:r>
        <w:rPr>
          <w:b/>
          <w:bCs/>
          <w:lang w:eastAsia="it-IT"/>
        </w:rPr>
        <w:t>b) Buono sociale mensile, di importo compreso tra € 400,00 e € 600,00</w:t>
      </w:r>
      <w:r>
        <w:rPr>
          <w:lang w:eastAsia="it-IT"/>
        </w:rPr>
        <w:t xml:space="preserve">, ponderato sul base del monte ore lavorative previste dal contratto, finalizzato a compensare le prestazioni di </w:t>
      </w:r>
      <w:r>
        <w:rPr>
          <w:b/>
          <w:bCs/>
          <w:lang w:eastAsia="it-IT"/>
        </w:rPr>
        <w:t>assistente famigliare</w:t>
      </w:r>
      <w:r>
        <w:rPr>
          <w:lang w:eastAsia="it-IT"/>
        </w:rPr>
        <w:t xml:space="preserve"> impiegato con regolare contratto</w:t>
      </w:r>
    </w:p>
    <w:p w:rsidR="00585EDD" w:rsidRDefault="00585EDD">
      <w:pPr>
        <w:autoSpaceDE w:val="0"/>
        <w:autoSpaceDN w:val="0"/>
        <w:adjustRightInd w:val="0"/>
        <w:spacing w:after="0" w:line="240" w:lineRule="auto"/>
        <w:jc w:val="both"/>
        <w:rPr>
          <w:rFonts w:ascii="Calibri,Bold" w:hAnsi="Calibri,Bold" w:cs="Calibri,Bold"/>
          <w:b/>
          <w:bCs/>
          <w:lang w:eastAsia="it-IT"/>
        </w:rPr>
      </w:pPr>
    </w:p>
    <w:p w:rsidR="00585EDD" w:rsidRDefault="00585EDD">
      <w:pPr>
        <w:autoSpaceDE w:val="0"/>
        <w:autoSpaceDN w:val="0"/>
        <w:adjustRightInd w:val="0"/>
        <w:spacing w:after="0" w:line="240" w:lineRule="auto"/>
        <w:jc w:val="both"/>
        <w:rPr>
          <w:rFonts w:ascii="Calibri,Bold" w:hAnsi="Calibri,Bold" w:cs="Calibri,Bold"/>
          <w:b/>
          <w:bCs/>
          <w:lang w:eastAsia="it-IT"/>
        </w:rPr>
      </w:pPr>
      <w:r>
        <w:rPr>
          <w:b/>
          <w:bCs/>
          <w:lang w:eastAsia="it-IT"/>
        </w:rPr>
        <w:t xml:space="preserve">c) Voucher sociali per un importo definito dal progetto di assistenza elaborato dal Case Manager in accordo con la famiglia </w:t>
      </w:r>
      <w:r>
        <w:rPr>
          <w:lang w:eastAsia="it-IT"/>
        </w:rPr>
        <w:t>per sostenere la vita di relazione di minori con disabilità</w:t>
      </w:r>
      <w:r>
        <w:rPr>
          <w:b/>
          <w:bCs/>
          <w:lang w:eastAsia="it-IT"/>
        </w:rPr>
        <w:t xml:space="preserve"> </w:t>
      </w:r>
      <w:r>
        <w:rPr>
          <w:lang w:eastAsia="it-IT"/>
        </w:rPr>
        <w:t>con appositi progetti di natura educativa/socializzante che favoriscano il</w:t>
      </w:r>
      <w:r>
        <w:rPr>
          <w:b/>
          <w:bCs/>
          <w:lang w:eastAsia="it-IT"/>
        </w:rPr>
        <w:t xml:space="preserve"> </w:t>
      </w:r>
      <w:r>
        <w:rPr>
          <w:lang w:eastAsia="it-IT"/>
        </w:rPr>
        <w:t>loro benessere psicofisico (es. pet therapy, attività motoria in acqua,</w:t>
      </w:r>
      <w:r>
        <w:rPr>
          <w:b/>
          <w:bCs/>
          <w:lang w:eastAsia="it-IT"/>
        </w:rPr>
        <w:t xml:space="preserve"> </w:t>
      </w:r>
      <w:r>
        <w:rPr>
          <w:lang w:eastAsia="it-IT"/>
        </w:rPr>
        <w:t>frequenza a centri estivi, ecc). Non sono finanziabili con tale tipologia di voucher i costi relativi ad attività connesse alla frequenza scolastica ivi compreso pre e post scuola o attività di trasporto; non possono essere utilizzati per la copertura di costi sanitari e sociosanitari.</w:t>
      </w:r>
    </w:p>
    <w:p w:rsidR="00585EDD" w:rsidRDefault="00585EDD">
      <w:pPr>
        <w:autoSpaceDE w:val="0"/>
        <w:autoSpaceDN w:val="0"/>
        <w:adjustRightInd w:val="0"/>
        <w:spacing w:after="0" w:line="240" w:lineRule="auto"/>
        <w:jc w:val="both"/>
        <w:rPr>
          <w:rFonts w:ascii="Calibri,Bold" w:hAnsi="Calibri,Bold" w:cs="Calibri,Bold"/>
          <w:b/>
          <w:bCs/>
          <w:lang w:eastAsia="it-IT"/>
        </w:rPr>
      </w:pPr>
    </w:p>
    <w:p w:rsidR="00585EDD" w:rsidRDefault="00585EDD">
      <w:pPr>
        <w:jc w:val="both"/>
        <w:rPr>
          <w:b/>
          <w:bCs/>
        </w:rPr>
      </w:pPr>
      <w:r>
        <w:rPr>
          <w:b/>
          <w:bCs/>
        </w:rPr>
        <w:t xml:space="preserve">4. COMPATIBILITA’ </w:t>
      </w:r>
    </w:p>
    <w:p w:rsidR="00585EDD" w:rsidRDefault="00585EDD">
      <w:pPr>
        <w:jc w:val="both"/>
      </w:pPr>
      <w:r>
        <w:t>l’erogazione del Buono Misura B2 è compatibile con:</w:t>
      </w:r>
    </w:p>
    <w:p w:rsidR="00585EDD" w:rsidRDefault="00585EDD">
      <w:pPr>
        <w:numPr>
          <w:ilvl w:val="0"/>
          <w:numId w:val="5"/>
        </w:numPr>
        <w:spacing w:line="240" w:lineRule="auto"/>
        <w:jc w:val="both"/>
      </w:pPr>
      <w:r>
        <w:t>voucher anziani e disabili ex DGR n. 7487/2017 e DGR n. 2564/2019;</w:t>
      </w:r>
    </w:p>
    <w:p w:rsidR="00585EDD" w:rsidRDefault="00585EDD">
      <w:pPr>
        <w:numPr>
          <w:ilvl w:val="0"/>
          <w:numId w:val="5"/>
        </w:numPr>
        <w:spacing w:line="240" w:lineRule="auto"/>
        <w:jc w:val="both"/>
      </w:pPr>
      <w:r>
        <w:t>interventi di assistenza domiciliare: Assistenza domiciliare Integrata (ADI), Servizio Assistenza Domiciliare  (SAD);</w:t>
      </w:r>
    </w:p>
    <w:p w:rsidR="00585EDD" w:rsidRDefault="00585EDD">
      <w:pPr>
        <w:numPr>
          <w:ilvl w:val="0"/>
          <w:numId w:val="5"/>
        </w:numPr>
        <w:spacing w:line="240" w:lineRule="auto"/>
        <w:jc w:val="both"/>
      </w:pPr>
      <w:r>
        <w:t>interventi di riabilitazione in regime ambulatoriale o domiciliare;</w:t>
      </w:r>
    </w:p>
    <w:p w:rsidR="00585EDD" w:rsidRDefault="00585EDD">
      <w:pPr>
        <w:numPr>
          <w:ilvl w:val="0"/>
          <w:numId w:val="5"/>
        </w:numPr>
        <w:spacing w:line="240" w:lineRule="auto"/>
        <w:jc w:val="both"/>
      </w:pPr>
      <w:r>
        <w:t>ricovero ospedaliero;</w:t>
      </w:r>
    </w:p>
    <w:p w:rsidR="00585EDD" w:rsidRDefault="00585EDD">
      <w:pPr>
        <w:numPr>
          <w:ilvl w:val="0"/>
          <w:numId w:val="5"/>
        </w:numPr>
        <w:spacing w:line="240" w:lineRule="auto"/>
        <w:jc w:val="both"/>
      </w:pPr>
      <w:r>
        <w:t>ricovero di sollievo per adulti per massimo 60 giorni programmabili nell’anno, per minori per massimo 90 giorni;</w:t>
      </w:r>
    </w:p>
    <w:p w:rsidR="00585EDD" w:rsidRDefault="00585EDD">
      <w:pPr>
        <w:numPr>
          <w:ilvl w:val="0"/>
          <w:numId w:val="5"/>
        </w:numPr>
        <w:spacing w:line="240" w:lineRule="auto"/>
        <w:jc w:val="both"/>
      </w:pPr>
      <w:r>
        <w:t>sostegni del DOPO DI NOI, riferiti esclusivamente per canone di locazione  o per spese condominiali per persone disabili con progetto di vita indipendente;</w:t>
      </w:r>
    </w:p>
    <w:p w:rsidR="00585EDD" w:rsidRDefault="00585EDD">
      <w:pPr>
        <w:numPr>
          <w:ilvl w:val="0"/>
          <w:numId w:val="5"/>
        </w:numPr>
        <w:spacing w:line="240" w:lineRule="auto"/>
        <w:jc w:val="both"/>
      </w:pPr>
      <w:r>
        <w:t>prestazioni integrative previste da Home Care Premium/INPS HCP ad eccezione di specifici contributi</w:t>
      </w:r>
    </w:p>
    <w:p w:rsidR="00585EDD" w:rsidRDefault="00585EDD">
      <w:pPr>
        <w:numPr>
          <w:ilvl w:val="0"/>
          <w:numId w:val="5"/>
        </w:numPr>
        <w:spacing w:line="240" w:lineRule="auto"/>
        <w:jc w:val="both"/>
      </w:pPr>
      <w:r>
        <w:t>Frequenza di servizi residenziali o semiresidenziali (es. CDD, CSE, SFA,…)</w:t>
      </w:r>
    </w:p>
    <w:p w:rsidR="00585EDD" w:rsidRDefault="00585EDD">
      <w:pPr>
        <w:jc w:val="both"/>
        <w:rPr>
          <w:rFonts w:ascii="Times New Roman" w:hAnsi="Times New Roman" w:cs="Times New Roman"/>
        </w:rPr>
      </w:pPr>
    </w:p>
    <w:p w:rsidR="00585EDD" w:rsidRDefault="00585EDD">
      <w:pPr>
        <w:jc w:val="both"/>
        <w:rPr>
          <w:b/>
          <w:bCs/>
        </w:rPr>
      </w:pPr>
      <w:r>
        <w:rPr>
          <w:b/>
          <w:bCs/>
        </w:rPr>
        <w:t>5. INCOMPATIBILITA’</w:t>
      </w:r>
    </w:p>
    <w:p w:rsidR="00585EDD" w:rsidRDefault="00585EDD">
      <w:pPr>
        <w:numPr>
          <w:ilvl w:val="0"/>
          <w:numId w:val="5"/>
        </w:numPr>
        <w:jc w:val="both"/>
      </w:pPr>
      <w:r>
        <w:t>accoglienza definitiva presso strutture residenziali socio-sanitarie;</w:t>
      </w:r>
    </w:p>
    <w:p w:rsidR="00585EDD" w:rsidRDefault="00585EDD">
      <w:pPr>
        <w:numPr>
          <w:ilvl w:val="0"/>
          <w:numId w:val="5"/>
        </w:numPr>
        <w:jc w:val="both"/>
      </w:pPr>
      <w:r>
        <w:t>misura B1</w:t>
      </w:r>
    </w:p>
    <w:p w:rsidR="00585EDD" w:rsidRDefault="00585EDD">
      <w:pPr>
        <w:numPr>
          <w:ilvl w:val="0"/>
          <w:numId w:val="5"/>
        </w:numPr>
        <w:jc w:val="both"/>
      </w:pPr>
      <w:r>
        <w:t>ricovero di sollievo  il cui costo sia a totale carico del Fondo Sanitario Regionale;</w:t>
      </w:r>
    </w:p>
    <w:p w:rsidR="00585EDD" w:rsidRDefault="00585EDD">
      <w:pPr>
        <w:numPr>
          <w:ilvl w:val="0"/>
          <w:numId w:val="5"/>
        </w:numPr>
        <w:jc w:val="both"/>
      </w:pPr>
      <w:r>
        <w:t>ricovero in riabilitazione /Sub acute/Cure intermedie/Post acute,</w:t>
      </w:r>
    </w:p>
    <w:p w:rsidR="00585EDD" w:rsidRDefault="00585EDD">
      <w:pPr>
        <w:numPr>
          <w:ilvl w:val="0"/>
          <w:numId w:val="5"/>
        </w:numPr>
        <w:jc w:val="both"/>
      </w:pPr>
      <w:r>
        <w:t>contributo da risorse progetti di vita indipendente –PRO.VI- per onere assistente famigliare regolarmente impiegato</w:t>
      </w:r>
    </w:p>
    <w:p w:rsidR="00585EDD" w:rsidRDefault="00585EDD">
      <w:pPr>
        <w:numPr>
          <w:ilvl w:val="0"/>
          <w:numId w:val="5"/>
        </w:numPr>
        <w:jc w:val="both"/>
      </w:pPr>
      <w:r>
        <w:t>Misura RSA Aperta  DGR n. 7769/2018</w:t>
      </w:r>
    </w:p>
    <w:p w:rsidR="00585EDD" w:rsidRDefault="00585EDD">
      <w:pPr>
        <w:numPr>
          <w:ilvl w:val="0"/>
          <w:numId w:val="5"/>
        </w:numPr>
        <w:jc w:val="both"/>
      </w:pPr>
      <w:r>
        <w:t>Bonus Assistenti Famigliari ex l.r. n. 15/2015</w:t>
      </w:r>
    </w:p>
    <w:p w:rsidR="00585EDD" w:rsidRDefault="00585EDD">
      <w:pPr>
        <w:ind w:left="708"/>
        <w:jc w:val="both"/>
      </w:pPr>
      <w:r>
        <w:t xml:space="preserve">Il Bonus per assistente Famigliare può essere erogato a persona valutata ammissibile alla Misura B2 ma non ancora presa in carico con la stessa </w:t>
      </w:r>
    </w:p>
    <w:p w:rsidR="00585EDD" w:rsidRDefault="00585EDD">
      <w:pPr>
        <w:jc w:val="both"/>
      </w:pPr>
    </w:p>
    <w:p w:rsidR="00585EDD" w:rsidRDefault="00585EDD">
      <w:pPr>
        <w:jc w:val="both"/>
        <w:rPr>
          <w:b/>
          <w:bCs/>
        </w:rPr>
      </w:pPr>
      <w:r>
        <w:rPr>
          <w:b/>
          <w:bCs/>
        </w:rPr>
        <w:t>6. FORMAZIONE DELLA GRADUATORIA</w:t>
      </w:r>
    </w:p>
    <w:p w:rsidR="00585EDD" w:rsidRDefault="00585EDD">
      <w:pPr>
        <w:jc w:val="both"/>
        <w:rPr>
          <w:rFonts w:ascii="Times New Roman" w:hAnsi="Times New Roman" w:cs="Times New Roman"/>
          <w:b/>
          <w:bCs/>
          <w:color w:val="000000"/>
        </w:rPr>
      </w:pPr>
      <w:r>
        <w:rPr>
          <w:color w:val="000000"/>
        </w:rPr>
        <w:t>La graduatoria unica verrà redatta da apposita Commissione, sulla base delle risultanze di punteggi attribuiti in base alla valutazione multidimensionale e in base alla situazione sociale</w:t>
      </w:r>
      <w:bookmarkStart w:id="0" w:name="_Hlk512067127"/>
      <w:r>
        <w:rPr>
          <w:color w:val="000000"/>
        </w:rPr>
        <w:t>.</w:t>
      </w:r>
    </w:p>
    <w:bookmarkEnd w:id="0"/>
    <w:p w:rsidR="00585EDD" w:rsidRDefault="00585EDD">
      <w:pPr>
        <w:spacing w:line="240" w:lineRule="auto"/>
        <w:jc w:val="both"/>
      </w:pPr>
      <w:r>
        <w:t>A parità di punteggio prevale l’ISEE inferiore.</w:t>
      </w:r>
    </w:p>
    <w:p w:rsidR="00585EDD" w:rsidRDefault="00585EDD">
      <w:pPr>
        <w:suppressAutoHyphens/>
        <w:spacing w:after="0" w:line="240" w:lineRule="auto"/>
        <w:ind w:right="-82"/>
        <w:jc w:val="both"/>
        <w:rPr>
          <w:lang w:eastAsia="ar-SA"/>
        </w:rPr>
      </w:pPr>
      <w:r>
        <w:rPr>
          <w:lang w:eastAsia="ar-SA"/>
        </w:rPr>
        <w:t>In caso di ammissione al beneficio il Servizio sociale dell’Azienda contatterà l’interessato per la costruzione congiunta del Progetto Individualizzato di Assistenza con la definizione degli interventi;</w:t>
      </w:r>
      <w:r>
        <w:t xml:space="preserve"> g</w:t>
      </w:r>
      <w:r>
        <w:rPr>
          <w:lang w:eastAsia="ar-SA"/>
        </w:rPr>
        <w:t>li aventi diritto al beneficio sono tenuti alla sottoscrizione del Progetto, pena la decadenza del beneficio.</w:t>
      </w:r>
    </w:p>
    <w:p w:rsidR="00585EDD" w:rsidRDefault="00585EDD">
      <w:pPr>
        <w:suppressAutoHyphens/>
        <w:spacing w:after="0" w:line="240" w:lineRule="auto"/>
        <w:ind w:right="-82"/>
        <w:jc w:val="both"/>
        <w:rPr>
          <w:lang w:eastAsia="ar-SA"/>
        </w:rPr>
      </w:pPr>
    </w:p>
    <w:p w:rsidR="00585EDD" w:rsidRDefault="00585EDD">
      <w:pPr>
        <w:suppressAutoHyphens/>
        <w:spacing w:after="0" w:line="240" w:lineRule="auto"/>
        <w:ind w:right="-82"/>
        <w:jc w:val="both"/>
        <w:rPr>
          <w:lang w:eastAsia="ar-SA"/>
        </w:rPr>
      </w:pPr>
      <w:r>
        <w:rPr>
          <w:lang w:eastAsia="ar-SA"/>
        </w:rPr>
        <w:t>Per assicurare una presa in carico globale della persona con problematiche sociosanitarie e per evitare sovrapposizioni di interventi sarà effettuata una valutazione di carattere multidimensionale ovvero effettuata in maniera integrata con l’apporto professionale di ASST, per la componente sociosanitaria che affiancherà quella sociale dell’Azienda.</w:t>
      </w:r>
    </w:p>
    <w:p w:rsidR="00585EDD" w:rsidRDefault="00585EDD">
      <w:pPr>
        <w:suppressAutoHyphens/>
        <w:spacing w:after="0" w:line="240" w:lineRule="auto"/>
        <w:ind w:right="-82"/>
        <w:jc w:val="both"/>
        <w:rPr>
          <w:lang w:eastAsia="ar-SA"/>
        </w:rPr>
      </w:pPr>
    </w:p>
    <w:p w:rsidR="00585EDD" w:rsidRDefault="00585EDD">
      <w:pPr>
        <w:jc w:val="both"/>
      </w:pPr>
      <w:r>
        <w:t xml:space="preserve">Qualora le risorse finanziarie a disposizione siano inferiori al fabbisogno derivante dal numero degli aventi diritto al buono, così come risultante dalla graduatoria, saranno erogati i buoni previsti fino alla concorrenza delle risorse disponibili e i beneficiari non finanziati resteranno in lista d’attesa. </w:t>
      </w:r>
    </w:p>
    <w:p w:rsidR="00585EDD" w:rsidRDefault="00585EDD">
      <w:pPr>
        <w:jc w:val="both"/>
        <w:rPr>
          <w:b/>
          <w:bCs/>
        </w:rPr>
      </w:pPr>
      <w:r>
        <w:rPr>
          <w:b/>
          <w:bCs/>
        </w:rPr>
        <w:t>La graduatoria unica verrà redatta con applicazione dei seguenti punteggi:</w:t>
      </w:r>
    </w:p>
    <w:p w:rsidR="00585EDD" w:rsidRDefault="00585EDD">
      <w:pPr>
        <w:jc w:val="both"/>
        <w:rPr>
          <w:b/>
          <w:bCs/>
        </w:rPr>
      </w:pPr>
      <w:r>
        <w:rPr>
          <w:b/>
          <w:bCs/>
        </w:rPr>
        <w:t xml:space="preserve">ATTRIBUZIONE DEL PUNTEGGIO IN BASE ALLA VALUTAZIONE MULTIDIMENSIONALE </w:t>
      </w:r>
    </w:p>
    <w:tbl>
      <w:tblPr>
        <w:tblW w:w="9735" w:type="dxa"/>
        <w:tblInd w:w="-68" w:type="dxa"/>
        <w:tblCellMar>
          <w:left w:w="70" w:type="dxa"/>
          <w:right w:w="70" w:type="dxa"/>
        </w:tblCellMar>
        <w:tblLook w:val="0000"/>
      </w:tblPr>
      <w:tblGrid>
        <w:gridCol w:w="1780"/>
        <w:gridCol w:w="6335"/>
        <w:gridCol w:w="1620"/>
      </w:tblGrid>
      <w:tr w:rsidR="00585EDD">
        <w:trPr>
          <w:cantSplit/>
          <w:trHeight w:val="462"/>
        </w:trPr>
        <w:tc>
          <w:tcPr>
            <w:tcW w:w="1780" w:type="dxa"/>
            <w:vMerge w:val="restart"/>
            <w:tcBorders>
              <w:top w:val="single" w:sz="4" w:space="0" w:color="auto"/>
              <w:left w:val="single" w:sz="4" w:space="0" w:color="auto"/>
              <w:bottom w:val="nil"/>
              <w:right w:val="single" w:sz="4" w:space="0" w:color="auto"/>
            </w:tcBorders>
            <w:vAlign w:val="center"/>
          </w:tcPr>
          <w:p w:rsidR="00585EDD" w:rsidRDefault="00585EDD">
            <w:pPr>
              <w:jc w:val="both"/>
              <w:rPr>
                <w:b/>
                <w:bCs/>
              </w:rPr>
            </w:pPr>
            <w:r>
              <w:rPr>
                <w:b/>
                <w:bCs/>
              </w:rPr>
              <w:t>Situazione familiare</w:t>
            </w:r>
          </w:p>
          <w:p w:rsidR="00585EDD" w:rsidRDefault="00585EDD">
            <w:pPr>
              <w:jc w:val="both"/>
              <w:rPr>
                <w:b/>
                <w:bCs/>
              </w:rPr>
            </w:pPr>
          </w:p>
        </w:tc>
        <w:tc>
          <w:tcPr>
            <w:tcW w:w="6335" w:type="dxa"/>
            <w:tcBorders>
              <w:top w:val="single" w:sz="4" w:space="0" w:color="auto"/>
              <w:left w:val="single" w:sz="4" w:space="0" w:color="auto"/>
              <w:bottom w:val="single" w:sz="4" w:space="0" w:color="auto"/>
              <w:right w:val="single" w:sz="4" w:space="0" w:color="auto"/>
            </w:tcBorders>
            <w:vAlign w:val="center"/>
          </w:tcPr>
          <w:p w:rsidR="00585EDD" w:rsidRDefault="00585EDD">
            <w:pPr>
              <w:jc w:val="both"/>
              <w:rPr>
                <w:b/>
                <w:bCs/>
              </w:rPr>
            </w:pPr>
            <w:r>
              <w:rPr>
                <w:b/>
                <w:bCs/>
              </w:rPr>
              <w:t xml:space="preserve">Presenza nel nucleo di sole persone (più di una) con invalidità superiore al 74% </w:t>
            </w:r>
          </w:p>
        </w:tc>
        <w:tc>
          <w:tcPr>
            <w:tcW w:w="1620" w:type="dxa"/>
            <w:tcBorders>
              <w:top w:val="single" w:sz="4" w:space="0" w:color="auto"/>
              <w:left w:val="single" w:sz="4" w:space="0" w:color="auto"/>
              <w:bottom w:val="single" w:sz="4" w:space="0" w:color="auto"/>
              <w:right w:val="single" w:sz="4" w:space="0" w:color="auto"/>
            </w:tcBorders>
            <w:vAlign w:val="center"/>
          </w:tcPr>
          <w:p w:rsidR="00585EDD" w:rsidRDefault="00585EDD">
            <w:pPr>
              <w:jc w:val="both"/>
              <w:rPr>
                <w:b/>
                <w:bCs/>
              </w:rPr>
            </w:pPr>
            <w:r>
              <w:rPr>
                <w:b/>
                <w:bCs/>
              </w:rPr>
              <w:t>5</w:t>
            </w:r>
          </w:p>
        </w:tc>
      </w:tr>
      <w:tr w:rsidR="00585EDD">
        <w:trPr>
          <w:cantSplit/>
          <w:trHeight w:val="462"/>
        </w:trPr>
        <w:tc>
          <w:tcPr>
            <w:tcW w:w="1780" w:type="dxa"/>
            <w:vMerge/>
            <w:tcBorders>
              <w:top w:val="nil"/>
              <w:left w:val="single" w:sz="4" w:space="0" w:color="auto"/>
              <w:bottom w:val="nil"/>
              <w:right w:val="single" w:sz="4" w:space="0" w:color="auto"/>
            </w:tcBorders>
            <w:vAlign w:val="center"/>
          </w:tcPr>
          <w:p w:rsidR="00585EDD" w:rsidRDefault="00585EDD">
            <w:pPr>
              <w:jc w:val="both"/>
              <w:rPr>
                <w:b/>
                <w:bCs/>
              </w:rPr>
            </w:pPr>
          </w:p>
        </w:tc>
        <w:tc>
          <w:tcPr>
            <w:tcW w:w="6335" w:type="dxa"/>
            <w:tcBorders>
              <w:top w:val="single" w:sz="4" w:space="0" w:color="auto"/>
              <w:left w:val="single" w:sz="4" w:space="0" w:color="auto"/>
              <w:bottom w:val="single" w:sz="4" w:space="0" w:color="auto"/>
              <w:right w:val="single" w:sz="4" w:space="0" w:color="auto"/>
            </w:tcBorders>
            <w:vAlign w:val="center"/>
          </w:tcPr>
          <w:p w:rsidR="00585EDD" w:rsidRDefault="00585EDD">
            <w:pPr>
              <w:jc w:val="both"/>
              <w:rPr>
                <w:b/>
                <w:bCs/>
              </w:rPr>
            </w:pPr>
            <w:r>
              <w:rPr>
                <w:b/>
                <w:bCs/>
              </w:rPr>
              <w:t xml:space="preserve">Nucleo composto dalla sola persona richiedente </w:t>
            </w:r>
          </w:p>
        </w:tc>
        <w:tc>
          <w:tcPr>
            <w:tcW w:w="1620" w:type="dxa"/>
            <w:tcBorders>
              <w:top w:val="single" w:sz="4" w:space="0" w:color="auto"/>
              <w:left w:val="single" w:sz="4" w:space="0" w:color="auto"/>
              <w:bottom w:val="single" w:sz="4" w:space="0" w:color="auto"/>
              <w:right w:val="single" w:sz="4" w:space="0" w:color="auto"/>
            </w:tcBorders>
            <w:vAlign w:val="center"/>
          </w:tcPr>
          <w:p w:rsidR="00585EDD" w:rsidRDefault="00585EDD">
            <w:pPr>
              <w:jc w:val="both"/>
              <w:rPr>
                <w:b/>
                <w:bCs/>
              </w:rPr>
            </w:pPr>
            <w:r>
              <w:rPr>
                <w:b/>
                <w:bCs/>
              </w:rPr>
              <w:t>4</w:t>
            </w:r>
          </w:p>
        </w:tc>
      </w:tr>
      <w:tr w:rsidR="00585EDD">
        <w:trPr>
          <w:cantSplit/>
          <w:trHeight w:val="462"/>
        </w:trPr>
        <w:tc>
          <w:tcPr>
            <w:tcW w:w="0" w:type="auto"/>
            <w:vMerge/>
            <w:tcBorders>
              <w:top w:val="nil"/>
              <w:left w:val="single" w:sz="4" w:space="0" w:color="auto"/>
              <w:bottom w:val="single" w:sz="4" w:space="0" w:color="auto"/>
              <w:right w:val="single" w:sz="4" w:space="0" w:color="auto"/>
            </w:tcBorders>
            <w:vAlign w:val="center"/>
          </w:tcPr>
          <w:p w:rsidR="00585EDD" w:rsidRDefault="00585EDD">
            <w:pPr>
              <w:jc w:val="both"/>
              <w:rPr>
                <w:b/>
                <w:bCs/>
              </w:rPr>
            </w:pPr>
          </w:p>
        </w:tc>
        <w:tc>
          <w:tcPr>
            <w:tcW w:w="6335" w:type="dxa"/>
            <w:tcBorders>
              <w:top w:val="single" w:sz="4" w:space="0" w:color="auto"/>
              <w:left w:val="single" w:sz="4" w:space="0" w:color="auto"/>
              <w:bottom w:val="single" w:sz="4" w:space="0" w:color="auto"/>
              <w:right w:val="single" w:sz="4" w:space="0" w:color="auto"/>
            </w:tcBorders>
            <w:vAlign w:val="center"/>
          </w:tcPr>
          <w:p w:rsidR="00585EDD" w:rsidRDefault="00585EDD">
            <w:pPr>
              <w:jc w:val="both"/>
              <w:rPr>
                <w:b/>
                <w:bCs/>
              </w:rPr>
            </w:pPr>
            <w:r>
              <w:rPr>
                <w:b/>
                <w:bCs/>
              </w:rPr>
              <w:t>Presenza nel nucleo di altra persona con invalidità superiore a 74%</w:t>
            </w:r>
          </w:p>
        </w:tc>
        <w:tc>
          <w:tcPr>
            <w:tcW w:w="1620" w:type="dxa"/>
            <w:tcBorders>
              <w:top w:val="single" w:sz="4" w:space="0" w:color="auto"/>
              <w:left w:val="single" w:sz="4" w:space="0" w:color="auto"/>
              <w:bottom w:val="single" w:sz="4" w:space="0" w:color="auto"/>
              <w:right w:val="single" w:sz="4" w:space="0" w:color="auto"/>
            </w:tcBorders>
            <w:vAlign w:val="center"/>
          </w:tcPr>
          <w:p w:rsidR="00585EDD" w:rsidRDefault="00585EDD">
            <w:pPr>
              <w:jc w:val="both"/>
              <w:rPr>
                <w:b/>
                <w:bCs/>
              </w:rPr>
            </w:pPr>
            <w:r>
              <w:rPr>
                <w:b/>
                <w:bCs/>
              </w:rPr>
              <w:t>3</w:t>
            </w:r>
          </w:p>
        </w:tc>
      </w:tr>
      <w:tr w:rsidR="00585EDD">
        <w:trPr>
          <w:cantSplit/>
          <w:trHeight w:val="462"/>
        </w:trPr>
        <w:tc>
          <w:tcPr>
            <w:tcW w:w="0" w:type="auto"/>
            <w:vMerge/>
            <w:tcBorders>
              <w:top w:val="single" w:sz="4" w:space="0" w:color="auto"/>
              <w:left w:val="single" w:sz="4" w:space="0" w:color="auto"/>
              <w:bottom w:val="single" w:sz="4" w:space="0" w:color="auto"/>
              <w:right w:val="single" w:sz="4" w:space="0" w:color="auto"/>
            </w:tcBorders>
            <w:vAlign w:val="center"/>
          </w:tcPr>
          <w:p w:rsidR="00585EDD" w:rsidRDefault="00585EDD">
            <w:pPr>
              <w:jc w:val="both"/>
              <w:rPr>
                <w:b/>
                <w:bCs/>
              </w:rPr>
            </w:pPr>
          </w:p>
        </w:tc>
        <w:tc>
          <w:tcPr>
            <w:tcW w:w="6335" w:type="dxa"/>
            <w:tcBorders>
              <w:top w:val="single" w:sz="4" w:space="0" w:color="auto"/>
              <w:left w:val="single" w:sz="4" w:space="0" w:color="auto"/>
              <w:bottom w:val="single" w:sz="4" w:space="0" w:color="auto"/>
              <w:right w:val="single" w:sz="4" w:space="0" w:color="auto"/>
            </w:tcBorders>
            <w:vAlign w:val="center"/>
          </w:tcPr>
          <w:p w:rsidR="00585EDD" w:rsidRDefault="00585EDD">
            <w:pPr>
              <w:jc w:val="both"/>
              <w:rPr>
                <w:b/>
                <w:bCs/>
              </w:rPr>
            </w:pPr>
            <w:r>
              <w:rPr>
                <w:b/>
                <w:bCs/>
              </w:rPr>
              <w:t xml:space="preserve">Presenza nel nucleo di un solo familiare adulto oltre al beneficiario </w:t>
            </w:r>
          </w:p>
        </w:tc>
        <w:tc>
          <w:tcPr>
            <w:tcW w:w="1620" w:type="dxa"/>
            <w:tcBorders>
              <w:top w:val="single" w:sz="4" w:space="0" w:color="auto"/>
              <w:left w:val="single" w:sz="4" w:space="0" w:color="auto"/>
              <w:bottom w:val="single" w:sz="4" w:space="0" w:color="auto"/>
              <w:right w:val="single" w:sz="4" w:space="0" w:color="auto"/>
            </w:tcBorders>
            <w:vAlign w:val="center"/>
          </w:tcPr>
          <w:p w:rsidR="00585EDD" w:rsidRDefault="00585EDD">
            <w:pPr>
              <w:jc w:val="both"/>
              <w:rPr>
                <w:b/>
                <w:bCs/>
              </w:rPr>
            </w:pPr>
            <w:r>
              <w:rPr>
                <w:b/>
                <w:bCs/>
              </w:rPr>
              <w:t>2</w:t>
            </w:r>
          </w:p>
        </w:tc>
      </w:tr>
    </w:tbl>
    <w:p w:rsidR="00585EDD" w:rsidRDefault="00585EDD">
      <w:pPr>
        <w:jc w:val="both"/>
        <w:rPr>
          <w:b/>
          <w:bCs/>
          <w:i/>
          <w:iCs/>
          <w:highlight w:val="yellow"/>
        </w:rPr>
      </w:pPr>
    </w:p>
    <w:tbl>
      <w:tblPr>
        <w:tblW w:w="9735" w:type="dxa"/>
        <w:tblInd w:w="-68" w:type="dxa"/>
        <w:tblCellMar>
          <w:left w:w="70" w:type="dxa"/>
          <w:right w:w="70" w:type="dxa"/>
        </w:tblCellMar>
        <w:tblLook w:val="0000"/>
      </w:tblPr>
      <w:tblGrid>
        <w:gridCol w:w="1780"/>
        <w:gridCol w:w="6335"/>
        <w:gridCol w:w="1620"/>
      </w:tblGrid>
      <w:tr w:rsidR="00585EDD">
        <w:trPr>
          <w:trHeight w:val="462"/>
        </w:trPr>
        <w:tc>
          <w:tcPr>
            <w:tcW w:w="1780" w:type="dxa"/>
            <w:tcBorders>
              <w:top w:val="single" w:sz="4" w:space="0" w:color="auto"/>
              <w:left w:val="single" w:sz="4" w:space="0" w:color="auto"/>
              <w:bottom w:val="nil"/>
              <w:right w:val="single" w:sz="8" w:space="0" w:color="auto"/>
            </w:tcBorders>
            <w:vAlign w:val="center"/>
          </w:tcPr>
          <w:p w:rsidR="00585EDD" w:rsidRDefault="00585EDD">
            <w:pPr>
              <w:jc w:val="both"/>
              <w:rPr>
                <w:b/>
                <w:bCs/>
              </w:rPr>
            </w:pPr>
          </w:p>
        </w:tc>
        <w:tc>
          <w:tcPr>
            <w:tcW w:w="6335" w:type="dxa"/>
            <w:tcBorders>
              <w:top w:val="single" w:sz="4" w:space="0" w:color="auto"/>
              <w:left w:val="nil"/>
              <w:bottom w:val="nil"/>
              <w:right w:val="single" w:sz="8" w:space="0" w:color="auto"/>
            </w:tcBorders>
            <w:vAlign w:val="center"/>
          </w:tcPr>
          <w:p w:rsidR="00585EDD" w:rsidRDefault="00585EDD">
            <w:pPr>
              <w:jc w:val="both"/>
              <w:rPr>
                <w:b/>
                <w:bCs/>
              </w:rPr>
            </w:pPr>
            <w:r>
              <w:rPr>
                <w:b/>
                <w:bCs/>
              </w:rPr>
              <w:t>Fino a € 6000,00 di ISEE</w:t>
            </w:r>
          </w:p>
        </w:tc>
        <w:tc>
          <w:tcPr>
            <w:tcW w:w="1620" w:type="dxa"/>
            <w:tcBorders>
              <w:top w:val="single" w:sz="4" w:space="0" w:color="auto"/>
              <w:left w:val="nil"/>
              <w:bottom w:val="nil"/>
              <w:right w:val="single" w:sz="4" w:space="0" w:color="auto"/>
            </w:tcBorders>
            <w:vAlign w:val="center"/>
          </w:tcPr>
          <w:p w:rsidR="00585EDD" w:rsidRDefault="00585EDD">
            <w:pPr>
              <w:jc w:val="both"/>
              <w:rPr>
                <w:b/>
                <w:bCs/>
              </w:rPr>
            </w:pPr>
            <w:r>
              <w:rPr>
                <w:b/>
                <w:bCs/>
              </w:rPr>
              <w:t>12</w:t>
            </w:r>
          </w:p>
        </w:tc>
      </w:tr>
      <w:tr w:rsidR="00585EDD">
        <w:trPr>
          <w:trHeight w:val="547"/>
        </w:trPr>
        <w:tc>
          <w:tcPr>
            <w:tcW w:w="1780" w:type="dxa"/>
            <w:tcBorders>
              <w:top w:val="nil"/>
              <w:left w:val="single" w:sz="4" w:space="0" w:color="auto"/>
              <w:bottom w:val="nil"/>
              <w:right w:val="single" w:sz="8" w:space="0" w:color="auto"/>
            </w:tcBorders>
            <w:vAlign w:val="center"/>
          </w:tcPr>
          <w:p w:rsidR="00585EDD" w:rsidRDefault="00585EDD">
            <w:pPr>
              <w:jc w:val="both"/>
              <w:rPr>
                <w:b/>
                <w:bCs/>
              </w:rPr>
            </w:pPr>
            <w:r>
              <w:rPr>
                <w:b/>
                <w:bCs/>
              </w:rPr>
              <w:t>Condizione economica</w:t>
            </w:r>
          </w:p>
        </w:tc>
        <w:tc>
          <w:tcPr>
            <w:tcW w:w="6335" w:type="dxa"/>
            <w:tcBorders>
              <w:top w:val="single" w:sz="8" w:space="0" w:color="auto"/>
              <w:left w:val="nil"/>
              <w:bottom w:val="nil"/>
              <w:right w:val="single" w:sz="8" w:space="0" w:color="auto"/>
            </w:tcBorders>
            <w:vAlign w:val="center"/>
          </w:tcPr>
          <w:p w:rsidR="00585EDD" w:rsidRDefault="00585EDD">
            <w:pPr>
              <w:jc w:val="both"/>
              <w:rPr>
                <w:b/>
                <w:bCs/>
              </w:rPr>
            </w:pPr>
            <w:r>
              <w:rPr>
                <w:b/>
                <w:bCs/>
              </w:rPr>
              <w:t xml:space="preserve">Da € 6000,01 a € 9.000,00 di ISEE </w:t>
            </w:r>
          </w:p>
        </w:tc>
        <w:tc>
          <w:tcPr>
            <w:tcW w:w="1620" w:type="dxa"/>
            <w:tcBorders>
              <w:top w:val="single" w:sz="8" w:space="0" w:color="auto"/>
              <w:left w:val="nil"/>
              <w:bottom w:val="nil"/>
              <w:right w:val="single" w:sz="4" w:space="0" w:color="auto"/>
            </w:tcBorders>
            <w:vAlign w:val="center"/>
          </w:tcPr>
          <w:p w:rsidR="00585EDD" w:rsidRDefault="00585EDD">
            <w:pPr>
              <w:jc w:val="both"/>
              <w:rPr>
                <w:b/>
                <w:bCs/>
              </w:rPr>
            </w:pPr>
            <w:r>
              <w:rPr>
                <w:b/>
                <w:bCs/>
              </w:rPr>
              <w:t>8</w:t>
            </w:r>
          </w:p>
        </w:tc>
      </w:tr>
      <w:tr w:rsidR="00585EDD">
        <w:trPr>
          <w:trHeight w:val="462"/>
        </w:trPr>
        <w:tc>
          <w:tcPr>
            <w:tcW w:w="1780" w:type="dxa"/>
            <w:tcBorders>
              <w:top w:val="nil"/>
              <w:left w:val="single" w:sz="4" w:space="0" w:color="auto"/>
              <w:bottom w:val="nil"/>
              <w:right w:val="single" w:sz="8" w:space="0" w:color="auto"/>
            </w:tcBorders>
            <w:vAlign w:val="center"/>
          </w:tcPr>
          <w:p w:rsidR="00585EDD" w:rsidRDefault="00585EDD">
            <w:pPr>
              <w:jc w:val="both"/>
              <w:rPr>
                <w:b/>
                <w:bCs/>
              </w:rPr>
            </w:pPr>
          </w:p>
        </w:tc>
        <w:tc>
          <w:tcPr>
            <w:tcW w:w="6335" w:type="dxa"/>
            <w:tcBorders>
              <w:top w:val="single" w:sz="8" w:space="0" w:color="auto"/>
              <w:left w:val="nil"/>
              <w:bottom w:val="single" w:sz="8" w:space="0" w:color="auto"/>
              <w:right w:val="single" w:sz="8" w:space="0" w:color="auto"/>
            </w:tcBorders>
            <w:vAlign w:val="center"/>
          </w:tcPr>
          <w:p w:rsidR="00585EDD" w:rsidRDefault="00585EDD">
            <w:pPr>
              <w:jc w:val="both"/>
              <w:rPr>
                <w:b/>
                <w:bCs/>
              </w:rPr>
            </w:pPr>
            <w:r>
              <w:rPr>
                <w:b/>
                <w:bCs/>
              </w:rPr>
              <w:t xml:space="preserve">Da € 9000,01 a € 12.000,00 di ISEE </w:t>
            </w:r>
          </w:p>
        </w:tc>
        <w:tc>
          <w:tcPr>
            <w:tcW w:w="1620" w:type="dxa"/>
            <w:tcBorders>
              <w:top w:val="single" w:sz="8" w:space="0" w:color="auto"/>
              <w:left w:val="nil"/>
              <w:bottom w:val="single" w:sz="8" w:space="0" w:color="auto"/>
              <w:right w:val="single" w:sz="4" w:space="0" w:color="auto"/>
            </w:tcBorders>
            <w:vAlign w:val="center"/>
          </w:tcPr>
          <w:p w:rsidR="00585EDD" w:rsidRDefault="00585EDD">
            <w:pPr>
              <w:jc w:val="both"/>
              <w:rPr>
                <w:b/>
                <w:bCs/>
              </w:rPr>
            </w:pPr>
            <w:r>
              <w:rPr>
                <w:b/>
                <w:bCs/>
              </w:rPr>
              <w:t>5</w:t>
            </w:r>
          </w:p>
        </w:tc>
      </w:tr>
      <w:tr w:rsidR="00585EDD">
        <w:trPr>
          <w:trHeight w:val="462"/>
        </w:trPr>
        <w:tc>
          <w:tcPr>
            <w:tcW w:w="1780" w:type="dxa"/>
            <w:tcBorders>
              <w:top w:val="nil"/>
              <w:left w:val="single" w:sz="4" w:space="0" w:color="auto"/>
              <w:bottom w:val="nil"/>
              <w:right w:val="single" w:sz="8" w:space="0" w:color="auto"/>
            </w:tcBorders>
            <w:vAlign w:val="center"/>
          </w:tcPr>
          <w:p w:rsidR="00585EDD" w:rsidRDefault="00585EDD">
            <w:pPr>
              <w:jc w:val="both"/>
              <w:rPr>
                <w:b/>
                <w:bCs/>
              </w:rPr>
            </w:pPr>
          </w:p>
        </w:tc>
        <w:tc>
          <w:tcPr>
            <w:tcW w:w="6335" w:type="dxa"/>
            <w:tcBorders>
              <w:top w:val="single" w:sz="8" w:space="0" w:color="auto"/>
              <w:left w:val="nil"/>
              <w:bottom w:val="single" w:sz="8" w:space="0" w:color="auto"/>
              <w:right w:val="single" w:sz="8" w:space="0" w:color="auto"/>
            </w:tcBorders>
            <w:vAlign w:val="center"/>
          </w:tcPr>
          <w:p w:rsidR="00585EDD" w:rsidRDefault="00585EDD">
            <w:pPr>
              <w:jc w:val="both"/>
              <w:rPr>
                <w:b/>
                <w:bCs/>
              </w:rPr>
            </w:pPr>
            <w:r>
              <w:rPr>
                <w:b/>
                <w:bCs/>
              </w:rPr>
              <w:t>Da € 12.000,01 a € 25.000</w:t>
            </w:r>
          </w:p>
        </w:tc>
        <w:tc>
          <w:tcPr>
            <w:tcW w:w="1620" w:type="dxa"/>
            <w:tcBorders>
              <w:top w:val="single" w:sz="8" w:space="0" w:color="auto"/>
              <w:left w:val="nil"/>
              <w:bottom w:val="single" w:sz="8" w:space="0" w:color="auto"/>
              <w:right w:val="single" w:sz="4" w:space="0" w:color="auto"/>
            </w:tcBorders>
            <w:vAlign w:val="center"/>
          </w:tcPr>
          <w:p w:rsidR="00585EDD" w:rsidRDefault="00585EDD">
            <w:pPr>
              <w:jc w:val="both"/>
              <w:rPr>
                <w:b/>
                <w:bCs/>
              </w:rPr>
            </w:pPr>
            <w:r>
              <w:rPr>
                <w:b/>
                <w:bCs/>
              </w:rPr>
              <w:t>3</w:t>
            </w:r>
          </w:p>
        </w:tc>
      </w:tr>
      <w:tr w:rsidR="00585EDD">
        <w:trPr>
          <w:trHeight w:val="462"/>
        </w:trPr>
        <w:tc>
          <w:tcPr>
            <w:tcW w:w="1780" w:type="dxa"/>
            <w:tcBorders>
              <w:top w:val="nil"/>
              <w:left w:val="single" w:sz="4" w:space="0" w:color="auto"/>
              <w:bottom w:val="single" w:sz="4" w:space="0" w:color="auto"/>
              <w:right w:val="single" w:sz="8" w:space="0" w:color="auto"/>
            </w:tcBorders>
            <w:vAlign w:val="center"/>
          </w:tcPr>
          <w:p w:rsidR="00585EDD" w:rsidRDefault="00585EDD">
            <w:pPr>
              <w:jc w:val="both"/>
              <w:rPr>
                <w:b/>
                <w:bCs/>
              </w:rPr>
            </w:pPr>
          </w:p>
        </w:tc>
        <w:tc>
          <w:tcPr>
            <w:tcW w:w="6335" w:type="dxa"/>
            <w:tcBorders>
              <w:top w:val="single" w:sz="8" w:space="0" w:color="auto"/>
              <w:left w:val="nil"/>
              <w:bottom w:val="single" w:sz="4" w:space="0" w:color="auto"/>
              <w:right w:val="single" w:sz="8" w:space="0" w:color="auto"/>
            </w:tcBorders>
            <w:vAlign w:val="center"/>
          </w:tcPr>
          <w:p w:rsidR="00585EDD" w:rsidRDefault="00585EDD">
            <w:pPr>
              <w:jc w:val="both"/>
              <w:rPr>
                <w:b/>
                <w:bCs/>
              </w:rPr>
            </w:pPr>
            <w:r>
              <w:rPr>
                <w:b/>
                <w:bCs/>
              </w:rPr>
              <w:t>Oltre € 25.000,01</w:t>
            </w:r>
          </w:p>
        </w:tc>
        <w:tc>
          <w:tcPr>
            <w:tcW w:w="1620" w:type="dxa"/>
            <w:tcBorders>
              <w:top w:val="single" w:sz="8" w:space="0" w:color="auto"/>
              <w:left w:val="nil"/>
              <w:bottom w:val="single" w:sz="4" w:space="0" w:color="auto"/>
              <w:right w:val="single" w:sz="4" w:space="0" w:color="auto"/>
            </w:tcBorders>
            <w:vAlign w:val="center"/>
          </w:tcPr>
          <w:p w:rsidR="00585EDD" w:rsidRDefault="00585EDD">
            <w:pPr>
              <w:jc w:val="both"/>
              <w:rPr>
                <w:b/>
                <w:bCs/>
              </w:rPr>
            </w:pPr>
            <w:r>
              <w:rPr>
                <w:b/>
                <w:bCs/>
              </w:rPr>
              <w:t>0</w:t>
            </w:r>
          </w:p>
        </w:tc>
      </w:tr>
    </w:tbl>
    <w:p w:rsidR="00585EDD" w:rsidRDefault="00585EDD">
      <w:pPr>
        <w:jc w:val="both"/>
        <w:rPr>
          <w:b/>
          <w:bCs/>
          <w:i/>
          <w:iCs/>
          <w:highlight w:val="yellow"/>
          <w:u w:val="single"/>
        </w:rPr>
      </w:pPr>
    </w:p>
    <w:p w:rsidR="00585EDD" w:rsidRDefault="00585EDD">
      <w:pPr>
        <w:jc w:val="both"/>
        <w:rPr>
          <w:b/>
          <w:bCs/>
          <w:i/>
          <w:iCs/>
          <w:highlight w:val="yellow"/>
          <w:u w:val="single"/>
        </w:rPr>
      </w:pPr>
    </w:p>
    <w:tbl>
      <w:tblPr>
        <w:tblW w:w="9735" w:type="dxa"/>
        <w:tblInd w:w="-68" w:type="dxa"/>
        <w:tblCellMar>
          <w:left w:w="70" w:type="dxa"/>
          <w:right w:w="70" w:type="dxa"/>
        </w:tblCellMar>
        <w:tblLook w:val="0000"/>
      </w:tblPr>
      <w:tblGrid>
        <w:gridCol w:w="1780"/>
        <w:gridCol w:w="6335"/>
        <w:gridCol w:w="1620"/>
      </w:tblGrid>
      <w:tr w:rsidR="00585EDD">
        <w:trPr>
          <w:trHeight w:val="462"/>
        </w:trPr>
        <w:tc>
          <w:tcPr>
            <w:tcW w:w="1780" w:type="dxa"/>
            <w:tcBorders>
              <w:top w:val="single" w:sz="4" w:space="0" w:color="auto"/>
              <w:left w:val="single" w:sz="4" w:space="0" w:color="auto"/>
              <w:bottom w:val="nil"/>
              <w:right w:val="single" w:sz="8" w:space="0" w:color="auto"/>
            </w:tcBorders>
            <w:vAlign w:val="center"/>
          </w:tcPr>
          <w:p w:rsidR="00585EDD" w:rsidRDefault="00585EDD">
            <w:pPr>
              <w:jc w:val="both"/>
              <w:rPr>
                <w:b/>
                <w:bCs/>
              </w:rPr>
            </w:pPr>
          </w:p>
        </w:tc>
        <w:tc>
          <w:tcPr>
            <w:tcW w:w="6335" w:type="dxa"/>
            <w:tcBorders>
              <w:top w:val="single" w:sz="4" w:space="0" w:color="auto"/>
              <w:left w:val="nil"/>
              <w:bottom w:val="nil"/>
              <w:right w:val="single" w:sz="8" w:space="0" w:color="auto"/>
            </w:tcBorders>
            <w:vAlign w:val="center"/>
          </w:tcPr>
          <w:p w:rsidR="00585EDD" w:rsidRDefault="00585EDD">
            <w:pPr>
              <w:jc w:val="both"/>
              <w:rPr>
                <w:b/>
                <w:bCs/>
              </w:rPr>
            </w:pPr>
            <w:r>
              <w:rPr>
                <w:b/>
                <w:bCs/>
              </w:rPr>
              <w:t>Livello 1 (da 0 a 1)</w:t>
            </w:r>
          </w:p>
        </w:tc>
        <w:tc>
          <w:tcPr>
            <w:tcW w:w="1620" w:type="dxa"/>
            <w:tcBorders>
              <w:top w:val="single" w:sz="4" w:space="0" w:color="auto"/>
              <w:left w:val="nil"/>
              <w:bottom w:val="nil"/>
              <w:right w:val="single" w:sz="4" w:space="0" w:color="auto"/>
            </w:tcBorders>
            <w:vAlign w:val="center"/>
          </w:tcPr>
          <w:p w:rsidR="00585EDD" w:rsidRDefault="00585EDD">
            <w:pPr>
              <w:jc w:val="both"/>
              <w:rPr>
                <w:b/>
                <w:bCs/>
              </w:rPr>
            </w:pPr>
            <w:r>
              <w:rPr>
                <w:b/>
                <w:bCs/>
              </w:rPr>
              <w:t>10</w:t>
            </w:r>
          </w:p>
        </w:tc>
      </w:tr>
      <w:tr w:rsidR="00585EDD">
        <w:trPr>
          <w:trHeight w:val="547"/>
        </w:trPr>
        <w:tc>
          <w:tcPr>
            <w:tcW w:w="1780" w:type="dxa"/>
            <w:tcBorders>
              <w:top w:val="nil"/>
              <w:left w:val="single" w:sz="4" w:space="0" w:color="auto"/>
              <w:bottom w:val="nil"/>
              <w:right w:val="single" w:sz="8" w:space="0" w:color="auto"/>
            </w:tcBorders>
            <w:vAlign w:val="center"/>
          </w:tcPr>
          <w:p w:rsidR="00585EDD" w:rsidRDefault="00585EDD">
            <w:pPr>
              <w:jc w:val="both"/>
              <w:rPr>
                <w:b/>
                <w:bCs/>
              </w:rPr>
            </w:pPr>
            <w:r>
              <w:rPr>
                <w:b/>
                <w:bCs/>
              </w:rPr>
              <w:t>Non autosufficienza scheda ADL</w:t>
            </w:r>
          </w:p>
        </w:tc>
        <w:tc>
          <w:tcPr>
            <w:tcW w:w="6335" w:type="dxa"/>
            <w:tcBorders>
              <w:top w:val="single" w:sz="8" w:space="0" w:color="auto"/>
              <w:left w:val="nil"/>
              <w:bottom w:val="nil"/>
              <w:right w:val="single" w:sz="8" w:space="0" w:color="auto"/>
            </w:tcBorders>
            <w:vAlign w:val="center"/>
          </w:tcPr>
          <w:p w:rsidR="00585EDD" w:rsidRDefault="00585EDD">
            <w:pPr>
              <w:jc w:val="both"/>
              <w:rPr>
                <w:b/>
                <w:bCs/>
              </w:rPr>
            </w:pPr>
            <w:r>
              <w:rPr>
                <w:b/>
                <w:bCs/>
              </w:rPr>
              <w:t>Livello 2 (da 2 a 4)</w:t>
            </w:r>
          </w:p>
        </w:tc>
        <w:tc>
          <w:tcPr>
            <w:tcW w:w="1620" w:type="dxa"/>
            <w:tcBorders>
              <w:top w:val="single" w:sz="8" w:space="0" w:color="auto"/>
              <w:left w:val="nil"/>
              <w:bottom w:val="nil"/>
              <w:right w:val="single" w:sz="4" w:space="0" w:color="auto"/>
            </w:tcBorders>
            <w:vAlign w:val="center"/>
          </w:tcPr>
          <w:p w:rsidR="00585EDD" w:rsidRDefault="00585EDD">
            <w:pPr>
              <w:jc w:val="both"/>
              <w:rPr>
                <w:b/>
                <w:bCs/>
              </w:rPr>
            </w:pPr>
            <w:r>
              <w:rPr>
                <w:b/>
                <w:bCs/>
              </w:rPr>
              <w:t>6</w:t>
            </w:r>
          </w:p>
        </w:tc>
      </w:tr>
      <w:tr w:rsidR="00585EDD">
        <w:trPr>
          <w:trHeight w:val="462"/>
        </w:trPr>
        <w:tc>
          <w:tcPr>
            <w:tcW w:w="1780" w:type="dxa"/>
            <w:tcBorders>
              <w:top w:val="nil"/>
              <w:left w:val="single" w:sz="4" w:space="0" w:color="auto"/>
              <w:bottom w:val="single" w:sz="4" w:space="0" w:color="auto"/>
              <w:right w:val="single" w:sz="8" w:space="0" w:color="auto"/>
            </w:tcBorders>
            <w:vAlign w:val="center"/>
          </w:tcPr>
          <w:p w:rsidR="00585EDD" w:rsidRDefault="00585EDD">
            <w:pPr>
              <w:jc w:val="both"/>
              <w:rPr>
                <w:b/>
                <w:bCs/>
              </w:rPr>
            </w:pPr>
          </w:p>
        </w:tc>
        <w:tc>
          <w:tcPr>
            <w:tcW w:w="6335" w:type="dxa"/>
            <w:tcBorders>
              <w:top w:val="single" w:sz="8" w:space="0" w:color="auto"/>
              <w:left w:val="nil"/>
              <w:bottom w:val="single" w:sz="4" w:space="0" w:color="auto"/>
              <w:right w:val="single" w:sz="8" w:space="0" w:color="auto"/>
            </w:tcBorders>
            <w:vAlign w:val="center"/>
          </w:tcPr>
          <w:p w:rsidR="00585EDD" w:rsidRDefault="00585EDD">
            <w:pPr>
              <w:jc w:val="both"/>
              <w:rPr>
                <w:b/>
                <w:bCs/>
              </w:rPr>
            </w:pPr>
            <w:r>
              <w:rPr>
                <w:b/>
                <w:bCs/>
              </w:rPr>
              <w:t>Livello 3 (da 5 a 6)</w:t>
            </w:r>
          </w:p>
        </w:tc>
        <w:tc>
          <w:tcPr>
            <w:tcW w:w="1620" w:type="dxa"/>
            <w:tcBorders>
              <w:top w:val="single" w:sz="8" w:space="0" w:color="auto"/>
              <w:left w:val="nil"/>
              <w:bottom w:val="single" w:sz="4" w:space="0" w:color="auto"/>
              <w:right w:val="single" w:sz="4" w:space="0" w:color="auto"/>
            </w:tcBorders>
            <w:vAlign w:val="center"/>
          </w:tcPr>
          <w:p w:rsidR="00585EDD" w:rsidRDefault="00585EDD">
            <w:pPr>
              <w:jc w:val="both"/>
              <w:rPr>
                <w:b/>
                <w:bCs/>
              </w:rPr>
            </w:pPr>
            <w:r>
              <w:rPr>
                <w:b/>
                <w:bCs/>
              </w:rPr>
              <w:t>2</w:t>
            </w:r>
          </w:p>
        </w:tc>
      </w:tr>
    </w:tbl>
    <w:p w:rsidR="00585EDD" w:rsidRDefault="00585EDD">
      <w:pPr>
        <w:jc w:val="both"/>
        <w:rPr>
          <w:b/>
          <w:bCs/>
        </w:rPr>
      </w:pPr>
    </w:p>
    <w:tbl>
      <w:tblPr>
        <w:tblW w:w="9735" w:type="dxa"/>
        <w:tblInd w:w="-68" w:type="dxa"/>
        <w:tblCellMar>
          <w:left w:w="70" w:type="dxa"/>
          <w:right w:w="70" w:type="dxa"/>
        </w:tblCellMar>
        <w:tblLook w:val="0000"/>
      </w:tblPr>
      <w:tblGrid>
        <w:gridCol w:w="1780"/>
        <w:gridCol w:w="6335"/>
        <w:gridCol w:w="1620"/>
      </w:tblGrid>
      <w:tr w:rsidR="00585EDD">
        <w:trPr>
          <w:trHeight w:val="462"/>
        </w:trPr>
        <w:tc>
          <w:tcPr>
            <w:tcW w:w="1780" w:type="dxa"/>
            <w:tcBorders>
              <w:top w:val="single" w:sz="4" w:space="0" w:color="auto"/>
              <w:left w:val="single" w:sz="4" w:space="0" w:color="auto"/>
              <w:bottom w:val="nil"/>
              <w:right w:val="single" w:sz="8" w:space="0" w:color="auto"/>
            </w:tcBorders>
            <w:vAlign w:val="center"/>
          </w:tcPr>
          <w:p w:rsidR="00585EDD" w:rsidRDefault="00585EDD">
            <w:pPr>
              <w:jc w:val="both"/>
              <w:rPr>
                <w:b/>
                <w:bCs/>
              </w:rPr>
            </w:pPr>
          </w:p>
        </w:tc>
        <w:tc>
          <w:tcPr>
            <w:tcW w:w="6335" w:type="dxa"/>
            <w:tcBorders>
              <w:top w:val="single" w:sz="4" w:space="0" w:color="auto"/>
              <w:left w:val="nil"/>
              <w:bottom w:val="nil"/>
              <w:right w:val="single" w:sz="8" w:space="0" w:color="auto"/>
            </w:tcBorders>
            <w:vAlign w:val="center"/>
          </w:tcPr>
          <w:p w:rsidR="00585EDD" w:rsidRDefault="00585EDD">
            <w:pPr>
              <w:jc w:val="both"/>
              <w:rPr>
                <w:b/>
                <w:bCs/>
              </w:rPr>
            </w:pPr>
            <w:r>
              <w:rPr>
                <w:b/>
                <w:bCs/>
              </w:rPr>
              <w:t>Livello 1 (da 0 a 1)</w:t>
            </w:r>
          </w:p>
        </w:tc>
        <w:tc>
          <w:tcPr>
            <w:tcW w:w="1620" w:type="dxa"/>
            <w:tcBorders>
              <w:top w:val="single" w:sz="4" w:space="0" w:color="auto"/>
              <w:left w:val="nil"/>
              <w:bottom w:val="nil"/>
              <w:right w:val="single" w:sz="4" w:space="0" w:color="auto"/>
            </w:tcBorders>
            <w:vAlign w:val="center"/>
          </w:tcPr>
          <w:p w:rsidR="00585EDD" w:rsidRDefault="00585EDD">
            <w:pPr>
              <w:jc w:val="both"/>
              <w:rPr>
                <w:b/>
                <w:bCs/>
              </w:rPr>
            </w:pPr>
            <w:r>
              <w:rPr>
                <w:b/>
                <w:bCs/>
              </w:rPr>
              <w:t>10</w:t>
            </w:r>
          </w:p>
        </w:tc>
      </w:tr>
      <w:tr w:rsidR="00585EDD">
        <w:trPr>
          <w:trHeight w:val="547"/>
        </w:trPr>
        <w:tc>
          <w:tcPr>
            <w:tcW w:w="1780" w:type="dxa"/>
            <w:tcBorders>
              <w:top w:val="nil"/>
              <w:left w:val="single" w:sz="4" w:space="0" w:color="auto"/>
              <w:bottom w:val="nil"/>
              <w:right w:val="single" w:sz="8" w:space="0" w:color="auto"/>
            </w:tcBorders>
            <w:vAlign w:val="center"/>
          </w:tcPr>
          <w:p w:rsidR="00585EDD" w:rsidRDefault="00585EDD">
            <w:pPr>
              <w:jc w:val="both"/>
              <w:rPr>
                <w:b/>
                <w:bCs/>
              </w:rPr>
            </w:pPr>
            <w:r>
              <w:rPr>
                <w:b/>
                <w:bCs/>
              </w:rPr>
              <w:t xml:space="preserve">Non autosufficienza scheda </w:t>
            </w:r>
          </w:p>
          <w:p w:rsidR="00585EDD" w:rsidRDefault="00585EDD">
            <w:pPr>
              <w:jc w:val="both"/>
              <w:rPr>
                <w:b/>
                <w:bCs/>
              </w:rPr>
            </w:pPr>
            <w:r>
              <w:rPr>
                <w:b/>
                <w:bCs/>
              </w:rPr>
              <w:t>IADL MASCHIO</w:t>
            </w:r>
          </w:p>
        </w:tc>
        <w:tc>
          <w:tcPr>
            <w:tcW w:w="6335" w:type="dxa"/>
            <w:tcBorders>
              <w:top w:val="single" w:sz="8" w:space="0" w:color="auto"/>
              <w:left w:val="nil"/>
              <w:bottom w:val="nil"/>
              <w:right w:val="single" w:sz="8" w:space="0" w:color="auto"/>
            </w:tcBorders>
            <w:vAlign w:val="center"/>
          </w:tcPr>
          <w:p w:rsidR="00585EDD" w:rsidRDefault="00585EDD">
            <w:pPr>
              <w:jc w:val="both"/>
              <w:rPr>
                <w:b/>
                <w:bCs/>
              </w:rPr>
            </w:pPr>
            <w:r>
              <w:rPr>
                <w:b/>
                <w:bCs/>
              </w:rPr>
              <w:t>Livello 2 (da 2 a 4)</w:t>
            </w:r>
          </w:p>
        </w:tc>
        <w:tc>
          <w:tcPr>
            <w:tcW w:w="1620" w:type="dxa"/>
            <w:tcBorders>
              <w:top w:val="single" w:sz="8" w:space="0" w:color="auto"/>
              <w:left w:val="nil"/>
              <w:bottom w:val="nil"/>
              <w:right w:val="single" w:sz="4" w:space="0" w:color="auto"/>
            </w:tcBorders>
            <w:vAlign w:val="center"/>
          </w:tcPr>
          <w:p w:rsidR="00585EDD" w:rsidRDefault="00585EDD">
            <w:pPr>
              <w:jc w:val="both"/>
              <w:rPr>
                <w:b/>
                <w:bCs/>
              </w:rPr>
            </w:pPr>
            <w:r>
              <w:rPr>
                <w:b/>
                <w:bCs/>
              </w:rPr>
              <w:t>6</w:t>
            </w:r>
          </w:p>
        </w:tc>
      </w:tr>
      <w:tr w:rsidR="00585EDD">
        <w:trPr>
          <w:trHeight w:val="462"/>
        </w:trPr>
        <w:tc>
          <w:tcPr>
            <w:tcW w:w="1780" w:type="dxa"/>
            <w:tcBorders>
              <w:top w:val="nil"/>
              <w:left w:val="single" w:sz="4" w:space="0" w:color="auto"/>
              <w:bottom w:val="single" w:sz="4" w:space="0" w:color="auto"/>
              <w:right w:val="single" w:sz="8" w:space="0" w:color="auto"/>
            </w:tcBorders>
            <w:vAlign w:val="center"/>
          </w:tcPr>
          <w:p w:rsidR="00585EDD" w:rsidRDefault="00585EDD">
            <w:pPr>
              <w:jc w:val="both"/>
              <w:rPr>
                <w:b/>
                <w:bCs/>
              </w:rPr>
            </w:pPr>
          </w:p>
        </w:tc>
        <w:tc>
          <w:tcPr>
            <w:tcW w:w="6335" w:type="dxa"/>
            <w:tcBorders>
              <w:top w:val="single" w:sz="8" w:space="0" w:color="auto"/>
              <w:left w:val="nil"/>
              <w:bottom w:val="single" w:sz="4" w:space="0" w:color="auto"/>
              <w:right w:val="single" w:sz="8" w:space="0" w:color="auto"/>
            </w:tcBorders>
            <w:vAlign w:val="center"/>
          </w:tcPr>
          <w:p w:rsidR="00585EDD" w:rsidRDefault="00585EDD">
            <w:pPr>
              <w:jc w:val="both"/>
              <w:rPr>
                <w:b/>
                <w:bCs/>
              </w:rPr>
            </w:pPr>
            <w:r>
              <w:rPr>
                <w:b/>
                <w:bCs/>
              </w:rPr>
              <w:t>Livello 3 (da 5 a 6)</w:t>
            </w:r>
          </w:p>
        </w:tc>
        <w:tc>
          <w:tcPr>
            <w:tcW w:w="1620" w:type="dxa"/>
            <w:tcBorders>
              <w:top w:val="single" w:sz="8" w:space="0" w:color="auto"/>
              <w:left w:val="nil"/>
              <w:bottom w:val="single" w:sz="4" w:space="0" w:color="auto"/>
              <w:right w:val="single" w:sz="4" w:space="0" w:color="auto"/>
            </w:tcBorders>
            <w:vAlign w:val="center"/>
          </w:tcPr>
          <w:p w:rsidR="00585EDD" w:rsidRDefault="00585EDD">
            <w:pPr>
              <w:jc w:val="both"/>
              <w:rPr>
                <w:b/>
                <w:bCs/>
              </w:rPr>
            </w:pPr>
            <w:r>
              <w:rPr>
                <w:b/>
                <w:bCs/>
              </w:rPr>
              <w:t>2</w:t>
            </w:r>
          </w:p>
        </w:tc>
      </w:tr>
    </w:tbl>
    <w:p w:rsidR="00585EDD" w:rsidRDefault="00585EDD">
      <w:pPr>
        <w:jc w:val="both"/>
        <w:rPr>
          <w:b/>
          <w:bCs/>
          <w:i/>
          <w:iCs/>
          <w:u w:val="single"/>
        </w:rPr>
      </w:pPr>
    </w:p>
    <w:tbl>
      <w:tblPr>
        <w:tblW w:w="9735" w:type="dxa"/>
        <w:tblInd w:w="-68" w:type="dxa"/>
        <w:tblCellMar>
          <w:left w:w="70" w:type="dxa"/>
          <w:right w:w="70" w:type="dxa"/>
        </w:tblCellMar>
        <w:tblLook w:val="0000"/>
      </w:tblPr>
      <w:tblGrid>
        <w:gridCol w:w="1780"/>
        <w:gridCol w:w="6335"/>
        <w:gridCol w:w="1620"/>
      </w:tblGrid>
      <w:tr w:rsidR="00585EDD">
        <w:trPr>
          <w:trHeight w:val="462"/>
        </w:trPr>
        <w:tc>
          <w:tcPr>
            <w:tcW w:w="1780" w:type="dxa"/>
            <w:tcBorders>
              <w:top w:val="single" w:sz="4" w:space="0" w:color="auto"/>
              <w:left w:val="single" w:sz="4" w:space="0" w:color="auto"/>
              <w:bottom w:val="nil"/>
              <w:right w:val="single" w:sz="8" w:space="0" w:color="auto"/>
            </w:tcBorders>
            <w:vAlign w:val="center"/>
          </w:tcPr>
          <w:p w:rsidR="00585EDD" w:rsidRDefault="00585EDD">
            <w:pPr>
              <w:jc w:val="both"/>
              <w:rPr>
                <w:b/>
                <w:bCs/>
              </w:rPr>
            </w:pPr>
          </w:p>
        </w:tc>
        <w:tc>
          <w:tcPr>
            <w:tcW w:w="6335" w:type="dxa"/>
            <w:tcBorders>
              <w:top w:val="single" w:sz="4" w:space="0" w:color="auto"/>
              <w:left w:val="nil"/>
              <w:bottom w:val="nil"/>
              <w:right w:val="single" w:sz="8" w:space="0" w:color="auto"/>
            </w:tcBorders>
            <w:vAlign w:val="center"/>
          </w:tcPr>
          <w:p w:rsidR="00585EDD" w:rsidRDefault="00585EDD">
            <w:pPr>
              <w:jc w:val="both"/>
              <w:rPr>
                <w:b/>
                <w:bCs/>
              </w:rPr>
            </w:pPr>
            <w:r>
              <w:rPr>
                <w:b/>
                <w:bCs/>
              </w:rPr>
              <w:t>Livello 1 (da 0 a 2)</w:t>
            </w:r>
          </w:p>
        </w:tc>
        <w:tc>
          <w:tcPr>
            <w:tcW w:w="1620" w:type="dxa"/>
            <w:tcBorders>
              <w:top w:val="single" w:sz="4" w:space="0" w:color="auto"/>
              <w:left w:val="nil"/>
              <w:bottom w:val="nil"/>
              <w:right w:val="single" w:sz="4" w:space="0" w:color="auto"/>
            </w:tcBorders>
            <w:vAlign w:val="center"/>
          </w:tcPr>
          <w:p w:rsidR="00585EDD" w:rsidRDefault="00585EDD">
            <w:pPr>
              <w:jc w:val="both"/>
              <w:rPr>
                <w:b/>
                <w:bCs/>
              </w:rPr>
            </w:pPr>
            <w:r>
              <w:rPr>
                <w:b/>
                <w:bCs/>
              </w:rPr>
              <w:t>10</w:t>
            </w:r>
          </w:p>
        </w:tc>
      </w:tr>
      <w:tr w:rsidR="00585EDD">
        <w:trPr>
          <w:trHeight w:val="547"/>
        </w:trPr>
        <w:tc>
          <w:tcPr>
            <w:tcW w:w="1780" w:type="dxa"/>
            <w:tcBorders>
              <w:top w:val="nil"/>
              <w:left w:val="single" w:sz="4" w:space="0" w:color="auto"/>
              <w:bottom w:val="nil"/>
              <w:right w:val="single" w:sz="8" w:space="0" w:color="auto"/>
            </w:tcBorders>
            <w:vAlign w:val="center"/>
          </w:tcPr>
          <w:p w:rsidR="00585EDD" w:rsidRDefault="00585EDD">
            <w:pPr>
              <w:jc w:val="both"/>
              <w:rPr>
                <w:b/>
                <w:bCs/>
              </w:rPr>
            </w:pPr>
            <w:r>
              <w:rPr>
                <w:b/>
                <w:bCs/>
              </w:rPr>
              <w:t xml:space="preserve">Non autosufficienza scheda </w:t>
            </w:r>
          </w:p>
          <w:p w:rsidR="00585EDD" w:rsidRDefault="00585EDD">
            <w:pPr>
              <w:jc w:val="both"/>
              <w:rPr>
                <w:b/>
                <w:bCs/>
              </w:rPr>
            </w:pPr>
            <w:r>
              <w:rPr>
                <w:b/>
                <w:bCs/>
              </w:rPr>
              <w:t>IADL FEMMINA</w:t>
            </w:r>
          </w:p>
        </w:tc>
        <w:tc>
          <w:tcPr>
            <w:tcW w:w="6335" w:type="dxa"/>
            <w:tcBorders>
              <w:top w:val="single" w:sz="8" w:space="0" w:color="auto"/>
              <w:left w:val="nil"/>
              <w:bottom w:val="nil"/>
              <w:right w:val="single" w:sz="8" w:space="0" w:color="auto"/>
            </w:tcBorders>
            <w:vAlign w:val="center"/>
          </w:tcPr>
          <w:p w:rsidR="00585EDD" w:rsidRDefault="00585EDD">
            <w:pPr>
              <w:jc w:val="both"/>
              <w:rPr>
                <w:b/>
                <w:bCs/>
              </w:rPr>
            </w:pPr>
            <w:r>
              <w:rPr>
                <w:b/>
                <w:bCs/>
              </w:rPr>
              <w:t>Livello 2 (da 3 a 5)</w:t>
            </w:r>
          </w:p>
        </w:tc>
        <w:tc>
          <w:tcPr>
            <w:tcW w:w="1620" w:type="dxa"/>
            <w:tcBorders>
              <w:top w:val="single" w:sz="8" w:space="0" w:color="auto"/>
              <w:left w:val="nil"/>
              <w:bottom w:val="nil"/>
              <w:right w:val="single" w:sz="4" w:space="0" w:color="auto"/>
            </w:tcBorders>
            <w:vAlign w:val="center"/>
          </w:tcPr>
          <w:p w:rsidR="00585EDD" w:rsidRDefault="00585EDD">
            <w:pPr>
              <w:jc w:val="both"/>
              <w:rPr>
                <w:b/>
                <w:bCs/>
              </w:rPr>
            </w:pPr>
            <w:r>
              <w:rPr>
                <w:b/>
                <w:bCs/>
              </w:rPr>
              <w:t>6</w:t>
            </w:r>
          </w:p>
        </w:tc>
      </w:tr>
      <w:tr w:rsidR="00585EDD">
        <w:trPr>
          <w:trHeight w:val="462"/>
        </w:trPr>
        <w:tc>
          <w:tcPr>
            <w:tcW w:w="1780" w:type="dxa"/>
            <w:tcBorders>
              <w:top w:val="nil"/>
              <w:left w:val="single" w:sz="4" w:space="0" w:color="auto"/>
              <w:bottom w:val="single" w:sz="4" w:space="0" w:color="auto"/>
              <w:right w:val="single" w:sz="8" w:space="0" w:color="auto"/>
            </w:tcBorders>
            <w:vAlign w:val="center"/>
          </w:tcPr>
          <w:p w:rsidR="00585EDD" w:rsidRDefault="00585EDD">
            <w:pPr>
              <w:jc w:val="both"/>
              <w:rPr>
                <w:b/>
                <w:bCs/>
              </w:rPr>
            </w:pPr>
          </w:p>
        </w:tc>
        <w:tc>
          <w:tcPr>
            <w:tcW w:w="6335" w:type="dxa"/>
            <w:tcBorders>
              <w:top w:val="single" w:sz="8" w:space="0" w:color="auto"/>
              <w:left w:val="nil"/>
              <w:bottom w:val="single" w:sz="4" w:space="0" w:color="auto"/>
              <w:right w:val="single" w:sz="8" w:space="0" w:color="auto"/>
            </w:tcBorders>
            <w:vAlign w:val="center"/>
          </w:tcPr>
          <w:p w:rsidR="00585EDD" w:rsidRDefault="00585EDD">
            <w:pPr>
              <w:jc w:val="both"/>
              <w:rPr>
                <w:b/>
                <w:bCs/>
              </w:rPr>
            </w:pPr>
            <w:r>
              <w:rPr>
                <w:b/>
                <w:bCs/>
              </w:rPr>
              <w:t>Livello 3 (da 6 a 8)</w:t>
            </w:r>
          </w:p>
        </w:tc>
        <w:tc>
          <w:tcPr>
            <w:tcW w:w="1620" w:type="dxa"/>
            <w:tcBorders>
              <w:top w:val="single" w:sz="8" w:space="0" w:color="auto"/>
              <w:left w:val="nil"/>
              <w:bottom w:val="single" w:sz="4" w:space="0" w:color="auto"/>
              <w:right w:val="single" w:sz="4" w:space="0" w:color="auto"/>
            </w:tcBorders>
            <w:vAlign w:val="center"/>
          </w:tcPr>
          <w:p w:rsidR="00585EDD" w:rsidRDefault="00585EDD">
            <w:pPr>
              <w:jc w:val="both"/>
              <w:rPr>
                <w:b/>
                <w:bCs/>
              </w:rPr>
            </w:pPr>
            <w:r>
              <w:rPr>
                <w:b/>
                <w:bCs/>
              </w:rPr>
              <w:t>2</w:t>
            </w:r>
          </w:p>
        </w:tc>
      </w:tr>
    </w:tbl>
    <w:p w:rsidR="00585EDD" w:rsidRDefault="00585EDD">
      <w:pPr>
        <w:jc w:val="both"/>
        <w:rPr>
          <w:b/>
          <w:bCs/>
          <w:highlight w:val="yellow"/>
        </w:rPr>
      </w:pPr>
    </w:p>
    <w:p w:rsidR="00585EDD" w:rsidRDefault="00585EDD">
      <w:pPr>
        <w:jc w:val="both"/>
        <w:rPr>
          <w:b/>
          <w:bCs/>
        </w:rPr>
      </w:pPr>
      <w:r>
        <w:rPr>
          <w:b/>
          <w:bCs/>
        </w:rPr>
        <w:t>7. ATTRIBUZIONE DEL PUNTEGGIO IN BASE A SITUAZIONE SOCIALE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3"/>
        <w:gridCol w:w="741"/>
      </w:tblGrid>
      <w:tr w:rsidR="00585EDD">
        <w:tc>
          <w:tcPr>
            <w:tcW w:w="8993" w:type="dxa"/>
          </w:tcPr>
          <w:p w:rsidR="00585EDD" w:rsidRDefault="00585EDD">
            <w:pPr>
              <w:jc w:val="both"/>
              <w:rPr>
                <w:b/>
                <w:bCs/>
              </w:rPr>
            </w:pPr>
            <w:r>
              <w:rPr>
                <w:b/>
                <w:bCs/>
              </w:rPr>
              <w:t>Non beneficiari, di interventi o sostegni integrativi a carattere assistenziale erogati da Enti Pubblici o Privati o da enti previdenziali (es. INPS/ Home care Premium) – al momento della presentazione della domanda</w:t>
            </w:r>
          </w:p>
        </w:tc>
        <w:tc>
          <w:tcPr>
            <w:tcW w:w="741" w:type="dxa"/>
          </w:tcPr>
          <w:p w:rsidR="00585EDD" w:rsidRDefault="00585EDD">
            <w:pPr>
              <w:jc w:val="both"/>
              <w:rPr>
                <w:b/>
                <w:bCs/>
              </w:rPr>
            </w:pPr>
            <w:r>
              <w:rPr>
                <w:b/>
                <w:bCs/>
              </w:rPr>
              <w:t>90</w:t>
            </w:r>
          </w:p>
        </w:tc>
      </w:tr>
      <w:tr w:rsidR="00585EDD">
        <w:tc>
          <w:tcPr>
            <w:tcW w:w="8993" w:type="dxa"/>
          </w:tcPr>
          <w:p w:rsidR="00585EDD" w:rsidRDefault="00585EDD">
            <w:pPr>
              <w:jc w:val="both"/>
              <w:rPr>
                <w:b/>
                <w:bCs/>
              </w:rPr>
            </w:pPr>
            <w:r>
              <w:rPr>
                <w:b/>
                <w:bCs/>
              </w:rPr>
              <w:t xml:space="preserve">In carico alla Misura B2 nell’annualità precedente   </w:t>
            </w:r>
          </w:p>
        </w:tc>
        <w:tc>
          <w:tcPr>
            <w:tcW w:w="741" w:type="dxa"/>
          </w:tcPr>
          <w:p w:rsidR="00585EDD" w:rsidRDefault="00585EDD">
            <w:pPr>
              <w:jc w:val="both"/>
              <w:rPr>
                <w:b/>
                <w:bCs/>
              </w:rPr>
            </w:pPr>
            <w:r>
              <w:rPr>
                <w:b/>
                <w:bCs/>
              </w:rPr>
              <w:t>50</w:t>
            </w:r>
          </w:p>
        </w:tc>
      </w:tr>
      <w:tr w:rsidR="00585EDD">
        <w:tc>
          <w:tcPr>
            <w:tcW w:w="8993" w:type="dxa"/>
          </w:tcPr>
          <w:p w:rsidR="00585EDD" w:rsidRDefault="00585EDD">
            <w:pPr>
              <w:jc w:val="both"/>
              <w:rPr>
                <w:b/>
                <w:bCs/>
              </w:rPr>
            </w:pPr>
            <w:r>
              <w:rPr>
                <w:b/>
                <w:bCs/>
              </w:rPr>
              <w:t>Di nuovo accesso, che abbiano compiuto gli 85 anni</w:t>
            </w:r>
          </w:p>
        </w:tc>
        <w:tc>
          <w:tcPr>
            <w:tcW w:w="741" w:type="dxa"/>
          </w:tcPr>
          <w:p w:rsidR="00585EDD" w:rsidRDefault="00585EDD">
            <w:pPr>
              <w:jc w:val="both"/>
              <w:rPr>
                <w:b/>
                <w:bCs/>
              </w:rPr>
            </w:pPr>
            <w:r>
              <w:rPr>
                <w:b/>
                <w:bCs/>
              </w:rPr>
              <w:t>50</w:t>
            </w:r>
          </w:p>
        </w:tc>
      </w:tr>
      <w:tr w:rsidR="00585EDD">
        <w:tc>
          <w:tcPr>
            <w:tcW w:w="8993" w:type="dxa"/>
          </w:tcPr>
          <w:p w:rsidR="00585EDD" w:rsidRDefault="00585EDD">
            <w:pPr>
              <w:jc w:val="both"/>
              <w:rPr>
                <w:b/>
                <w:bCs/>
              </w:rPr>
            </w:pPr>
            <w:r>
              <w:rPr>
                <w:b/>
                <w:bCs/>
              </w:rPr>
              <w:t>Soggetti che frequentano servizi semiresidenziali per disabili (sia adulti che minori) o per anziani</w:t>
            </w:r>
          </w:p>
        </w:tc>
        <w:tc>
          <w:tcPr>
            <w:tcW w:w="741" w:type="dxa"/>
          </w:tcPr>
          <w:p w:rsidR="00585EDD" w:rsidRDefault="00585EDD">
            <w:pPr>
              <w:jc w:val="both"/>
              <w:rPr>
                <w:b/>
                <w:bCs/>
              </w:rPr>
            </w:pPr>
            <w:r>
              <w:rPr>
                <w:b/>
                <w:bCs/>
              </w:rPr>
              <w:t>- 20</w:t>
            </w:r>
          </w:p>
        </w:tc>
      </w:tr>
    </w:tbl>
    <w:p w:rsidR="00585EDD" w:rsidRDefault="00585EDD">
      <w:pPr>
        <w:jc w:val="both"/>
        <w:rPr>
          <w:b/>
          <w:bCs/>
        </w:rPr>
      </w:pPr>
    </w:p>
    <w:tbl>
      <w:tblPr>
        <w:tblW w:w="977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8"/>
        <w:gridCol w:w="760"/>
        <w:gridCol w:w="6182"/>
        <w:gridCol w:w="708"/>
      </w:tblGrid>
      <w:tr w:rsidR="00585EDD">
        <w:tc>
          <w:tcPr>
            <w:tcW w:w="2128" w:type="dxa"/>
          </w:tcPr>
          <w:p w:rsidR="00585EDD" w:rsidRDefault="00585EDD">
            <w:pPr>
              <w:jc w:val="both"/>
              <w:rPr>
                <w:b/>
                <w:bCs/>
              </w:rPr>
            </w:pPr>
            <w:r>
              <w:rPr>
                <w:b/>
                <w:bCs/>
              </w:rPr>
              <w:t>Piano di intervento</w:t>
            </w:r>
          </w:p>
        </w:tc>
        <w:tc>
          <w:tcPr>
            <w:tcW w:w="760" w:type="dxa"/>
          </w:tcPr>
          <w:p w:rsidR="00585EDD" w:rsidRDefault="00585EDD">
            <w:pPr>
              <w:jc w:val="both"/>
              <w:rPr>
                <w:b/>
                <w:bCs/>
              </w:rPr>
            </w:pPr>
            <w:r>
              <w:rPr>
                <w:b/>
                <w:bCs/>
              </w:rPr>
              <w:t>10/40</w:t>
            </w:r>
          </w:p>
        </w:tc>
        <w:tc>
          <w:tcPr>
            <w:tcW w:w="6182" w:type="dxa"/>
          </w:tcPr>
          <w:p w:rsidR="00585EDD" w:rsidRDefault="00585EDD">
            <w:pPr>
              <w:jc w:val="both"/>
              <w:rPr>
                <w:b/>
                <w:bCs/>
              </w:rPr>
            </w:pPr>
            <w:r>
              <w:rPr>
                <w:b/>
                <w:bCs/>
              </w:rPr>
              <w:t xml:space="preserve">Ore giornaliere mediamente necessarie per l’assistenza  </w:t>
            </w:r>
          </w:p>
          <w:p w:rsidR="00585EDD" w:rsidRDefault="00585EDD">
            <w:pPr>
              <w:jc w:val="both"/>
              <w:rPr>
                <w:b/>
                <w:bCs/>
              </w:rPr>
            </w:pPr>
            <w:r>
              <w:rPr>
                <w:b/>
                <w:bCs/>
              </w:rPr>
              <w:t>fino a   6</w:t>
            </w:r>
          </w:p>
          <w:p w:rsidR="00585EDD" w:rsidRDefault="00585EDD">
            <w:pPr>
              <w:jc w:val="both"/>
              <w:rPr>
                <w:b/>
                <w:bCs/>
              </w:rPr>
            </w:pPr>
            <w:r>
              <w:rPr>
                <w:b/>
                <w:bCs/>
              </w:rPr>
              <w:t>fino a   8</w:t>
            </w:r>
          </w:p>
          <w:p w:rsidR="00585EDD" w:rsidRDefault="00585EDD">
            <w:pPr>
              <w:jc w:val="both"/>
              <w:rPr>
                <w:b/>
                <w:bCs/>
              </w:rPr>
            </w:pPr>
            <w:r>
              <w:rPr>
                <w:b/>
                <w:bCs/>
              </w:rPr>
              <w:t>fino a 12</w:t>
            </w:r>
          </w:p>
          <w:p w:rsidR="00585EDD" w:rsidRDefault="00585EDD">
            <w:pPr>
              <w:jc w:val="both"/>
              <w:rPr>
                <w:b/>
                <w:bCs/>
              </w:rPr>
            </w:pPr>
          </w:p>
          <w:p w:rsidR="00585EDD" w:rsidRDefault="00585EDD">
            <w:pPr>
              <w:jc w:val="both"/>
              <w:rPr>
                <w:b/>
                <w:bCs/>
              </w:rPr>
            </w:pPr>
            <w:r>
              <w:rPr>
                <w:b/>
                <w:bCs/>
              </w:rPr>
              <w:t>fino a 24</w:t>
            </w:r>
          </w:p>
        </w:tc>
        <w:tc>
          <w:tcPr>
            <w:tcW w:w="708" w:type="dxa"/>
          </w:tcPr>
          <w:p w:rsidR="00585EDD" w:rsidRDefault="00585EDD">
            <w:pPr>
              <w:jc w:val="both"/>
              <w:rPr>
                <w:b/>
                <w:bCs/>
              </w:rPr>
            </w:pPr>
          </w:p>
          <w:p w:rsidR="00585EDD" w:rsidRDefault="00585EDD">
            <w:pPr>
              <w:jc w:val="both"/>
              <w:rPr>
                <w:b/>
                <w:bCs/>
              </w:rPr>
            </w:pPr>
            <w:r>
              <w:rPr>
                <w:b/>
                <w:bCs/>
              </w:rPr>
              <w:t>10</w:t>
            </w:r>
          </w:p>
          <w:p w:rsidR="00585EDD" w:rsidRDefault="00585EDD">
            <w:pPr>
              <w:jc w:val="both"/>
              <w:rPr>
                <w:b/>
                <w:bCs/>
              </w:rPr>
            </w:pPr>
            <w:r>
              <w:rPr>
                <w:b/>
                <w:bCs/>
              </w:rPr>
              <w:t>20</w:t>
            </w:r>
          </w:p>
          <w:p w:rsidR="00585EDD" w:rsidRDefault="00585EDD">
            <w:pPr>
              <w:jc w:val="both"/>
              <w:rPr>
                <w:b/>
                <w:bCs/>
              </w:rPr>
            </w:pPr>
            <w:r>
              <w:rPr>
                <w:b/>
                <w:bCs/>
              </w:rPr>
              <w:t>30</w:t>
            </w:r>
          </w:p>
          <w:p w:rsidR="00585EDD" w:rsidRDefault="00585EDD">
            <w:pPr>
              <w:jc w:val="both"/>
              <w:rPr>
                <w:b/>
                <w:bCs/>
              </w:rPr>
            </w:pPr>
            <w:r>
              <w:rPr>
                <w:b/>
                <w:bCs/>
              </w:rPr>
              <w:t>40</w:t>
            </w:r>
          </w:p>
        </w:tc>
      </w:tr>
      <w:tr w:rsidR="00585EDD">
        <w:tc>
          <w:tcPr>
            <w:tcW w:w="2128" w:type="dxa"/>
          </w:tcPr>
          <w:p w:rsidR="00585EDD" w:rsidRDefault="00585EDD">
            <w:pPr>
              <w:jc w:val="both"/>
              <w:rPr>
                <w:b/>
                <w:bCs/>
              </w:rPr>
            </w:pPr>
            <w:r>
              <w:rPr>
                <w:b/>
                <w:bCs/>
              </w:rPr>
              <w:t>Erogazione di altri contributi</w:t>
            </w:r>
          </w:p>
        </w:tc>
        <w:tc>
          <w:tcPr>
            <w:tcW w:w="760" w:type="dxa"/>
          </w:tcPr>
          <w:p w:rsidR="00585EDD" w:rsidRDefault="00585EDD">
            <w:pPr>
              <w:jc w:val="both"/>
              <w:rPr>
                <w:b/>
                <w:bCs/>
              </w:rPr>
            </w:pPr>
            <w:r>
              <w:rPr>
                <w:b/>
                <w:bCs/>
              </w:rPr>
              <w:t>(-20) /0</w:t>
            </w:r>
          </w:p>
        </w:tc>
        <w:tc>
          <w:tcPr>
            <w:tcW w:w="6182" w:type="dxa"/>
          </w:tcPr>
          <w:p w:rsidR="00585EDD" w:rsidRDefault="00585EDD">
            <w:pPr>
              <w:jc w:val="both"/>
              <w:rPr>
                <w:b/>
                <w:bCs/>
              </w:rPr>
            </w:pPr>
            <w:r>
              <w:rPr>
                <w:b/>
                <w:bCs/>
              </w:rPr>
              <w:t xml:space="preserve">VOUCHERS ADI (4 PROFILO) O VOUCHER SAD SUPERIORE A 15 ORE SETTIMANALI </w:t>
            </w:r>
          </w:p>
        </w:tc>
        <w:tc>
          <w:tcPr>
            <w:tcW w:w="708" w:type="dxa"/>
          </w:tcPr>
          <w:p w:rsidR="00585EDD" w:rsidRDefault="00585EDD">
            <w:pPr>
              <w:jc w:val="both"/>
              <w:rPr>
                <w:b/>
                <w:bCs/>
              </w:rPr>
            </w:pPr>
            <w:r>
              <w:rPr>
                <w:b/>
                <w:bCs/>
              </w:rPr>
              <w:t>-  20</w:t>
            </w:r>
          </w:p>
        </w:tc>
      </w:tr>
    </w:tbl>
    <w:p w:rsidR="00585EDD" w:rsidRDefault="00585EDD">
      <w:pPr>
        <w:jc w:val="both"/>
        <w:rPr>
          <w:b/>
          <w:bCs/>
          <w:highlight w:val="yellow"/>
        </w:rPr>
      </w:pPr>
    </w:p>
    <w:p w:rsidR="00585EDD" w:rsidRDefault="00585EDD">
      <w:pPr>
        <w:jc w:val="both"/>
        <w:rPr>
          <w:b/>
          <w:bCs/>
        </w:rPr>
      </w:pPr>
      <w:r>
        <w:rPr>
          <w:b/>
          <w:bCs/>
        </w:rPr>
        <w:t xml:space="preserve">Per i le domande volte all’ottenimento del beneficio di cui alle lettera  c) - Voucher sociali per sostenere la vita di relazione di minori con disabilità, si provvederà a stilare apposita graduatoria sulla base della sola valutazione multidimensionale, sino a concorrenza delle risorse previste. </w:t>
      </w:r>
    </w:p>
    <w:p w:rsidR="00585EDD" w:rsidRDefault="00585EDD">
      <w:pPr>
        <w:jc w:val="both"/>
        <w:rPr>
          <w:b/>
          <w:bCs/>
          <w:highlight w:val="yellow"/>
        </w:rPr>
      </w:pPr>
    </w:p>
    <w:p w:rsidR="00585EDD" w:rsidRDefault="00585EDD">
      <w:pPr>
        <w:jc w:val="both"/>
        <w:rPr>
          <w:b/>
          <w:bCs/>
        </w:rPr>
      </w:pPr>
      <w:r>
        <w:rPr>
          <w:b/>
          <w:bCs/>
        </w:rPr>
        <w:t>7. DETERMINAZIONE DELL’IMPORTO del BUONO</w:t>
      </w:r>
    </w:p>
    <w:p w:rsidR="00585EDD" w:rsidRDefault="00585EDD">
      <w:pPr>
        <w:jc w:val="both"/>
        <w:rPr>
          <w:rFonts w:ascii="Times New Roman" w:hAnsi="Times New Roman" w:cs="Times New Roman"/>
        </w:rPr>
      </w:pPr>
      <w:r>
        <w:t>In base al punteggio ottenuto nella valutazione, su proposta del servizio sociale l’Azienda determina l’importo del contributo assumendo come riferimento la seguente griglia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3"/>
        <w:gridCol w:w="4815"/>
      </w:tblGrid>
      <w:tr w:rsidR="00585EDD">
        <w:tc>
          <w:tcPr>
            <w:tcW w:w="4813" w:type="dxa"/>
          </w:tcPr>
          <w:p w:rsidR="00585EDD" w:rsidRDefault="00585EDD">
            <w:pPr>
              <w:jc w:val="both"/>
              <w:rPr>
                <w:b/>
                <w:bCs/>
              </w:rPr>
            </w:pPr>
            <w:r>
              <w:rPr>
                <w:b/>
                <w:bCs/>
              </w:rPr>
              <w:t>PUNTEGGIO</w:t>
            </w:r>
          </w:p>
        </w:tc>
        <w:tc>
          <w:tcPr>
            <w:tcW w:w="4815" w:type="dxa"/>
          </w:tcPr>
          <w:p w:rsidR="00585EDD" w:rsidRDefault="00585EDD">
            <w:pPr>
              <w:jc w:val="both"/>
              <w:rPr>
                <w:b/>
                <w:bCs/>
              </w:rPr>
            </w:pPr>
            <w:r>
              <w:rPr>
                <w:b/>
                <w:bCs/>
              </w:rPr>
              <w:t>FASCE CONTRIBUTO MENSILE (in euro)</w:t>
            </w:r>
          </w:p>
        </w:tc>
      </w:tr>
      <w:tr w:rsidR="00585EDD">
        <w:tc>
          <w:tcPr>
            <w:tcW w:w="4813" w:type="dxa"/>
          </w:tcPr>
          <w:p w:rsidR="00585EDD" w:rsidRDefault="00585EDD">
            <w:pPr>
              <w:jc w:val="both"/>
            </w:pPr>
            <w:r>
              <w:t xml:space="preserve">DA 70 A 90      </w:t>
            </w:r>
          </w:p>
        </w:tc>
        <w:tc>
          <w:tcPr>
            <w:tcW w:w="4815" w:type="dxa"/>
          </w:tcPr>
          <w:p w:rsidR="00585EDD" w:rsidRDefault="00585EDD">
            <w:pPr>
              <w:jc w:val="both"/>
            </w:pPr>
            <w:r>
              <w:t>200</w:t>
            </w:r>
          </w:p>
        </w:tc>
      </w:tr>
      <w:tr w:rsidR="00585EDD">
        <w:tc>
          <w:tcPr>
            <w:tcW w:w="4813" w:type="dxa"/>
          </w:tcPr>
          <w:p w:rsidR="00585EDD" w:rsidRDefault="00585EDD">
            <w:pPr>
              <w:jc w:val="both"/>
            </w:pPr>
            <w:r>
              <w:t xml:space="preserve">DA 91 A 110    </w:t>
            </w:r>
          </w:p>
        </w:tc>
        <w:tc>
          <w:tcPr>
            <w:tcW w:w="4815" w:type="dxa"/>
          </w:tcPr>
          <w:p w:rsidR="00585EDD" w:rsidRDefault="00585EDD">
            <w:pPr>
              <w:jc w:val="both"/>
            </w:pPr>
            <w:r>
              <w:t>300</w:t>
            </w:r>
          </w:p>
        </w:tc>
      </w:tr>
      <w:tr w:rsidR="00585EDD">
        <w:tc>
          <w:tcPr>
            <w:tcW w:w="4813" w:type="dxa"/>
          </w:tcPr>
          <w:p w:rsidR="00585EDD" w:rsidRDefault="00585EDD">
            <w:pPr>
              <w:jc w:val="both"/>
            </w:pPr>
            <w:r>
              <w:t xml:space="preserve">DA 111 A 130   </w:t>
            </w:r>
          </w:p>
        </w:tc>
        <w:tc>
          <w:tcPr>
            <w:tcW w:w="4815" w:type="dxa"/>
          </w:tcPr>
          <w:p w:rsidR="00585EDD" w:rsidRDefault="00585EDD">
            <w:pPr>
              <w:jc w:val="both"/>
            </w:pPr>
            <w:r>
              <w:t>400</w:t>
            </w:r>
          </w:p>
        </w:tc>
      </w:tr>
      <w:tr w:rsidR="00585EDD">
        <w:tc>
          <w:tcPr>
            <w:tcW w:w="4813" w:type="dxa"/>
          </w:tcPr>
          <w:p w:rsidR="00585EDD" w:rsidRDefault="00585EDD">
            <w:pPr>
              <w:jc w:val="both"/>
            </w:pPr>
            <w:r>
              <w:t xml:space="preserve">DA 131 A 150    </w:t>
            </w:r>
          </w:p>
        </w:tc>
        <w:tc>
          <w:tcPr>
            <w:tcW w:w="4815" w:type="dxa"/>
          </w:tcPr>
          <w:p w:rsidR="00585EDD" w:rsidRDefault="00585EDD">
            <w:pPr>
              <w:jc w:val="both"/>
            </w:pPr>
            <w:r>
              <w:t>500</w:t>
            </w:r>
          </w:p>
        </w:tc>
      </w:tr>
      <w:tr w:rsidR="00585EDD">
        <w:tc>
          <w:tcPr>
            <w:tcW w:w="4813" w:type="dxa"/>
          </w:tcPr>
          <w:p w:rsidR="00585EDD" w:rsidRDefault="00585EDD">
            <w:pPr>
              <w:jc w:val="both"/>
            </w:pPr>
            <w:r>
              <w:t xml:space="preserve">OLTRE 151         </w:t>
            </w:r>
          </w:p>
        </w:tc>
        <w:tc>
          <w:tcPr>
            <w:tcW w:w="4815" w:type="dxa"/>
          </w:tcPr>
          <w:p w:rsidR="00585EDD" w:rsidRDefault="00585EDD">
            <w:pPr>
              <w:jc w:val="both"/>
            </w:pPr>
            <w:r>
              <w:t>600</w:t>
            </w:r>
          </w:p>
        </w:tc>
      </w:tr>
    </w:tbl>
    <w:p w:rsidR="00585EDD" w:rsidRDefault="00585EDD">
      <w:pPr>
        <w:spacing w:line="360" w:lineRule="auto"/>
        <w:jc w:val="both"/>
      </w:pPr>
    </w:p>
    <w:p w:rsidR="00585EDD" w:rsidRDefault="00585EDD">
      <w:pPr>
        <w:spacing w:line="360" w:lineRule="auto"/>
        <w:jc w:val="both"/>
        <w:rPr>
          <w:b/>
          <w:bCs/>
          <w:u w:val="single"/>
        </w:rPr>
      </w:pPr>
      <w:r>
        <w:rPr>
          <w:b/>
          <w:bCs/>
          <w:u w:val="single"/>
        </w:rPr>
        <w:t xml:space="preserve">Si ribadisce che l’assistenza prestata dal caregiver familiare da diritto alla corresponsione di un Buono nell’entità massima di € 400,00 mensili, anche se il punteggio complessivo di cui sopra risulta superiore a punti 131. </w:t>
      </w:r>
    </w:p>
    <w:p w:rsidR="00585EDD" w:rsidRDefault="00585EDD">
      <w:pPr>
        <w:spacing w:line="360" w:lineRule="auto"/>
        <w:jc w:val="both"/>
      </w:pPr>
      <w:r>
        <w:t>L’importo non può essere comunque superiore alla effettiva spesa.</w:t>
      </w:r>
    </w:p>
    <w:p w:rsidR="00585EDD" w:rsidRDefault="00585EDD">
      <w:pPr>
        <w:spacing w:line="360" w:lineRule="auto"/>
        <w:jc w:val="both"/>
        <w:rPr>
          <w:rFonts w:ascii="Times New Roman" w:hAnsi="Times New Roman" w:cs="Times New Roman"/>
          <w:b/>
          <w:bCs/>
        </w:rPr>
      </w:pPr>
      <w:r>
        <w:rPr>
          <w:b/>
          <w:bCs/>
        </w:rPr>
        <w:t>8. DECORRENZA E DURATA DELL’EROGAZIONE DELLA MISURA – EVENTUALE SOSPENSIONE/INTERRUZIONE</w:t>
      </w:r>
    </w:p>
    <w:p w:rsidR="00585EDD" w:rsidRDefault="00585EDD">
      <w:pPr>
        <w:suppressAutoHyphens/>
        <w:spacing w:after="0" w:line="240" w:lineRule="auto"/>
        <w:ind w:right="-82"/>
        <w:jc w:val="both"/>
        <w:rPr>
          <w:b/>
          <w:bCs/>
        </w:rPr>
      </w:pPr>
      <w:bookmarkStart w:id="1" w:name="_Hlk512065700"/>
      <w:r>
        <w:rPr>
          <w:b/>
          <w:bCs/>
          <w:lang w:eastAsia="ar-SA"/>
        </w:rPr>
        <w:t xml:space="preserve">Il beneficio decorre dal mese di maggio 2020. </w:t>
      </w:r>
      <w:r>
        <w:rPr>
          <w:b/>
          <w:bCs/>
        </w:rPr>
        <w:t>La durata massima dell’intervento è sino al 30/04/2021</w:t>
      </w:r>
    </w:p>
    <w:bookmarkEnd w:id="1"/>
    <w:p w:rsidR="00585EDD" w:rsidRDefault="00585EDD">
      <w:pPr>
        <w:jc w:val="both"/>
      </w:pPr>
      <w:r>
        <w:t>L’erogazione del beneficio è vincolata alla conclusione dell’istruttoria e alla firma del PAI da parte di chi ha inoltrato la richiesta, o legale rappresentante.</w:t>
      </w:r>
    </w:p>
    <w:p w:rsidR="00585EDD" w:rsidRDefault="00585EDD">
      <w:pPr>
        <w:jc w:val="both"/>
        <w:rPr>
          <w:b/>
          <w:bCs/>
          <w:u w:val="single"/>
        </w:rPr>
      </w:pPr>
      <w:r>
        <w:t xml:space="preserve">considerata la situazione emergenziale, l’istruttoria verrà completata attingendo alla documentazione già in possesso dell’Azienda per le domande beneficiarie della Misura B2, per l’anno 2019. In tale caso </w:t>
      </w:r>
      <w:r>
        <w:rPr>
          <w:b/>
          <w:bCs/>
        </w:rPr>
        <w:t xml:space="preserve">l’erogazione del beneficio da parte dell’Azienda  avverrà in </w:t>
      </w:r>
      <w:r>
        <w:rPr>
          <w:b/>
          <w:bCs/>
          <w:u w:val="single"/>
        </w:rPr>
        <w:t>3 versamenti così distinti:</w:t>
      </w:r>
    </w:p>
    <w:p w:rsidR="00585EDD" w:rsidRDefault="00585EDD">
      <w:pPr>
        <w:numPr>
          <w:ilvl w:val="0"/>
          <w:numId w:val="6"/>
        </w:numPr>
        <w:jc w:val="both"/>
        <w:rPr>
          <w:b/>
          <w:bCs/>
        </w:rPr>
      </w:pPr>
      <w:r>
        <w:rPr>
          <w:b/>
          <w:bCs/>
        </w:rPr>
        <w:t>entro il mese di agosto 2020 (relativamente al riconoscimento del beneficio per i mesi di maggio/giugno/luglio/agosto);</w:t>
      </w:r>
    </w:p>
    <w:p w:rsidR="00585EDD" w:rsidRDefault="00585EDD">
      <w:pPr>
        <w:numPr>
          <w:ilvl w:val="0"/>
          <w:numId w:val="6"/>
        </w:numPr>
        <w:jc w:val="both"/>
        <w:rPr>
          <w:b/>
          <w:bCs/>
        </w:rPr>
      </w:pPr>
      <w:r>
        <w:rPr>
          <w:b/>
          <w:bCs/>
        </w:rPr>
        <w:t>entro il mese di novembre 2020 (relativamente al riconoscimento del beneficio per i mesi di settembre/ottobre/novembre/dicembre);</w:t>
      </w:r>
    </w:p>
    <w:p w:rsidR="00585EDD" w:rsidRDefault="00585EDD">
      <w:pPr>
        <w:numPr>
          <w:ilvl w:val="0"/>
          <w:numId w:val="6"/>
        </w:numPr>
        <w:jc w:val="both"/>
        <w:rPr>
          <w:b/>
          <w:bCs/>
        </w:rPr>
      </w:pPr>
      <w:r>
        <w:rPr>
          <w:b/>
          <w:bCs/>
        </w:rPr>
        <w:t>entro il mese di marzo 2021 (relativamente al riconoscimento del beneficio per i mesi di gennaio/febbraio/marzo/aprile).</w:t>
      </w:r>
    </w:p>
    <w:p w:rsidR="00585EDD" w:rsidRDefault="00585EDD">
      <w:pPr>
        <w:jc w:val="both"/>
      </w:pPr>
      <w:r>
        <w:t xml:space="preserve">Per le nuove istanze si provvederà alla definizione provvisoria del punteggio e del relativo ammontare del Buono che verrà liquidato nella misura del 50% dell’assegnato mensile , nella medesima tempistica di cui sopra, con liquidazione del restante 50% a saldo, una volta completata la valutazione multidimensionale da parte degli operatori . </w:t>
      </w:r>
    </w:p>
    <w:p w:rsidR="00585EDD" w:rsidRDefault="00585EDD">
      <w:pPr>
        <w:jc w:val="both"/>
      </w:pPr>
      <w:r>
        <w:t xml:space="preserve">L’erogazione del </w:t>
      </w:r>
      <w:r>
        <w:rPr>
          <w:b/>
          <w:bCs/>
        </w:rPr>
        <w:t>buono cesserà</w:t>
      </w:r>
      <w:r>
        <w:t xml:space="preserve"> nei seguenti casi:</w:t>
      </w:r>
    </w:p>
    <w:p w:rsidR="00585EDD" w:rsidRDefault="00585EDD">
      <w:pPr>
        <w:numPr>
          <w:ilvl w:val="0"/>
          <w:numId w:val="2"/>
        </w:numPr>
        <w:spacing w:after="0" w:line="240" w:lineRule="auto"/>
        <w:jc w:val="both"/>
        <w:rPr>
          <w:rFonts w:ascii="Times New Roman" w:hAnsi="Times New Roman" w:cs="Times New Roman"/>
        </w:rPr>
      </w:pPr>
      <w:r>
        <w:t>perdita dei requisiti di accesso alla misura;</w:t>
      </w:r>
    </w:p>
    <w:p w:rsidR="00585EDD" w:rsidRDefault="00585EDD">
      <w:pPr>
        <w:numPr>
          <w:ilvl w:val="0"/>
          <w:numId w:val="2"/>
        </w:numPr>
        <w:spacing w:after="0" w:line="240" w:lineRule="auto"/>
        <w:jc w:val="both"/>
        <w:rPr>
          <w:rFonts w:ascii="Times New Roman" w:hAnsi="Times New Roman" w:cs="Times New Roman"/>
        </w:rPr>
      </w:pPr>
      <w:r>
        <w:t>decesso del soggetto beneficiario;</w:t>
      </w:r>
    </w:p>
    <w:p w:rsidR="00585EDD" w:rsidRDefault="00585EDD">
      <w:pPr>
        <w:numPr>
          <w:ilvl w:val="0"/>
          <w:numId w:val="2"/>
        </w:numPr>
        <w:spacing w:after="0" w:line="240" w:lineRule="auto"/>
        <w:jc w:val="both"/>
        <w:rPr>
          <w:rFonts w:ascii="Times New Roman" w:hAnsi="Times New Roman" w:cs="Times New Roman"/>
        </w:rPr>
      </w:pPr>
      <w:r>
        <w:t>ricovero definitivo in struttura residenziale;</w:t>
      </w:r>
    </w:p>
    <w:p w:rsidR="00585EDD" w:rsidRDefault="00585EDD">
      <w:pPr>
        <w:numPr>
          <w:ilvl w:val="0"/>
          <w:numId w:val="2"/>
        </w:numPr>
        <w:spacing w:after="0" w:line="240" w:lineRule="auto"/>
        <w:jc w:val="both"/>
      </w:pPr>
      <w:r>
        <w:t>mancata adesione degli accordi condivisi all’interno del PAI.</w:t>
      </w:r>
    </w:p>
    <w:p w:rsidR="00585EDD" w:rsidRDefault="00585EDD">
      <w:pPr>
        <w:jc w:val="both"/>
        <w:rPr>
          <w:rFonts w:ascii="Times New Roman" w:hAnsi="Times New Roman" w:cs="Times New Roman"/>
          <w:color w:val="FF0000"/>
        </w:rPr>
      </w:pPr>
    </w:p>
    <w:p w:rsidR="00585EDD" w:rsidRDefault="00585EDD">
      <w:pPr>
        <w:jc w:val="both"/>
      </w:pPr>
      <w:r>
        <w:t xml:space="preserve">L’erogazione del buono </w:t>
      </w:r>
      <w:r>
        <w:rPr>
          <w:b/>
          <w:bCs/>
        </w:rPr>
        <w:t>verrà sospeso</w:t>
      </w:r>
      <w:r>
        <w:t xml:space="preserve"> nel seguente caso:</w:t>
      </w:r>
    </w:p>
    <w:p w:rsidR="00585EDD" w:rsidRDefault="00585EDD">
      <w:pPr>
        <w:numPr>
          <w:ilvl w:val="0"/>
          <w:numId w:val="1"/>
        </w:numPr>
        <w:spacing w:after="0" w:line="240" w:lineRule="auto"/>
        <w:ind w:right="1178"/>
        <w:jc w:val="both"/>
        <w:rPr>
          <w:spacing w:val="2"/>
        </w:rPr>
      </w:pPr>
      <w:r>
        <w:rPr>
          <w:spacing w:val="2"/>
        </w:rPr>
        <w:t xml:space="preserve">ricovero temporaneo, con degenza a tempo pieno, in strutture sanitarie (ad esclusione dell’ospedale) o socio-assistenziali e delle strutture intermedie o per sub acuti. Qualora il ricovero abbia durata superiore ai 60 giorni per gli adulti e 90 giorni per i minori il Buono sarà interrotto. </w:t>
      </w:r>
    </w:p>
    <w:p w:rsidR="00585EDD" w:rsidRDefault="00585EDD">
      <w:pPr>
        <w:spacing w:after="0" w:line="240" w:lineRule="auto"/>
        <w:ind w:left="708" w:right="1178"/>
        <w:jc w:val="both"/>
        <w:rPr>
          <w:spacing w:val="2"/>
        </w:rPr>
      </w:pPr>
      <w:r>
        <w:rPr>
          <w:spacing w:val="2"/>
        </w:rPr>
        <w:t>L’utente potrà presentare domanda per la concessione di un nuovo buono, con il bando successivo.</w:t>
      </w:r>
    </w:p>
    <w:p w:rsidR="00585EDD" w:rsidRDefault="00585EDD">
      <w:pPr>
        <w:jc w:val="both"/>
      </w:pPr>
      <w:r>
        <w:t>La cessazione e la sospensione del beneficio avverranno a far corso dalla data del verificarsi delle suddette condizioni e saranno comunicate all'interessato e/o al suo referente familiare. In entrambi i casi l’entità del buono sociale sarà rapportata ai giorni di effettiva presenza a domicilio del soggetto fragile.</w:t>
      </w:r>
    </w:p>
    <w:p w:rsidR="00585EDD" w:rsidRDefault="00585EDD">
      <w:pPr>
        <w:jc w:val="both"/>
      </w:pPr>
      <w:r>
        <w:t>Coloro che ritenessero di ricorrere avverso il provvedimento di cui sopra, potranno presentare ricorso motivato per iscritto, entro 15 giorni dalla ricezione della comunicazione di interruzione o sospensione.</w:t>
      </w:r>
    </w:p>
    <w:p w:rsidR="00585EDD" w:rsidRDefault="00585EDD">
      <w:pPr>
        <w:jc w:val="both"/>
      </w:pPr>
      <w:r>
        <w:t>Il ricorso dovrà essere indirizzato al Direttore dell’Azienda il quale, entro 30 giorni dalla data di ricezione del ricorso, provvederà a rispondere in merito all’accoglimento o al rigetto motivati del ricorso stesso. L’Azienda Socialis d'altro canto, si riserva, ove ne ricorrano le circostanze e l'interesse, di agire per il recupero delle risorse economiche indebitamente erogate, non esclusa l'azione legale per gli eventuali danni subiti.</w:t>
      </w:r>
    </w:p>
    <w:p w:rsidR="00585EDD" w:rsidRDefault="00585EDD">
      <w:pPr>
        <w:jc w:val="both"/>
        <w:rPr>
          <w:b/>
          <w:bCs/>
        </w:rPr>
      </w:pPr>
      <w:r>
        <w:rPr>
          <w:b/>
          <w:bCs/>
        </w:rPr>
        <w:t>9. CHIUSURA DEL PROCEDIMENTO</w:t>
      </w:r>
    </w:p>
    <w:p w:rsidR="00585EDD" w:rsidRDefault="00585EDD">
      <w:pPr>
        <w:jc w:val="both"/>
        <w:rPr>
          <w:rFonts w:ascii="Times New Roman" w:hAnsi="Times New Roman" w:cs="Times New Roman"/>
        </w:rPr>
      </w:pPr>
      <w:r>
        <w:t>L’Azienda attraverso apposita Commissione provvede:</w:t>
      </w:r>
    </w:p>
    <w:p w:rsidR="00585EDD" w:rsidRDefault="00585EDD">
      <w:pPr>
        <w:jc w:val="both"/>
        <w:rPr>
          <w:rFonts w:ascii="Times New Roman" w:hAnsi="Times New Roman" w:cs="Times New Roman"/>
        </w:rPr>
      </w:pPr>
      <w:r>
        <w:t>- alla formazione della graduatoria;</w:t>
      </w:r>
    </w:p>
    <w:p w:rsidR="00585EDD" w:rsidRDefault="00585EDD">
      <w:pPr>
        <w:jc w:val="both"/>
        <w:rPr>
          <w:rFonts w:ascii="Times New Roman" w:hAnsi="Times New Roman" w:cs="Times New Roman"/>
        </w:rPr>
      </w:pPr>
      <w:r>
        <w:t>- alla determinazione dell’importo della misura;</w:t>
      </w:r>
    </w:p>
    <w:p w:rsidR="00585EDD" w:rsidRDefault="00585EDD">
      <w:pPr>
        <w:jc w:val="both"/>
      </w:pPr>
      <w:r>
        <w:t>Nel caso la domanda sia stata accolta ma siano esauriti i fondi disponibili, la stessa verrà messa in lista d’attesa.</w:t>
      </w:r>
    </w:p>
    <w:p w:rsidR="00585EDD" w:rsidRDefault="00585EDD">
      <w:pPr>
        <w:jc w:val="both"/>
      </w:pPr>
      <w:r>
        <w:t>Per quanto non definito nel presente avviso valgono le indicazioni contenute nella DGR 2720 del 23/12/2019 e DGR 2862 del 18/02/2020.</w:t>
      </w:r>
    </w:p>
    <w:p w:rsidR="00585EDD" w:rsidRDefault="00585EDD">
      <w:pPr>
        <w:jc w:val="both"/>
      </w:pPr>
    </w:p>
    <w:p w:rsidR="00585EDD" w:rsidRDefault="00585ED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w:t>
      </w:r>
    </w:p>
    <w:p w:rsidR="00585EDD" w:rsidRDefault="00585EDD">
      <w:pPr>
        <w:jc w:val="center"/>
        <w:rPr>
          <w:rFonts w:ascii="Times New Roman" w:hAnsi="Times New Roman" w:cs="Times New Roman"/>
        </w:rPr>
      </w:pPr>
      <w:r>
        <w:t xml:space="preserve">              Il DIRETTORE</w:t>
      </w:r>
    </w:p>
    <w:p w:rsidR="00585EDD" w:rsidRDefault="00585EDD">
      <w:pPr>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w:t>
      </w:r>
      <w:r>
        <w:rPr>
          <w:i/>
          <w:iCs/>
        </w:rPr>
        <w:t>D.ssa Maria Elena Margonari</w:t>
      </w:r>
    </w:p>
    <w:p w:rsidR="00585EDD" w:rsidRDefault="00585EDD">
      <w:pPr>
        <w:jc w:val="both"/>
      </w:pPr>
      <w:r>
        <w:t>ALLEGATI:</w:t>
      </w:r>
    </w:p>
    <w:p w:rsidR="00585EDD" w:rsidRDefault="00585EDD">
      <w:pPr>
        <w:numPr>
          <w:ilvl w:val="0"/>
          <w:numId w:val="4"/>
        </w:numPr>
        <w:jc w:val="both"/>
        <w:rPr>
          <w:b/>
          <w:bCs/>
        </w:rPr>
      </w:pPr>
      <w:r>
        <w:rPr>
          <w:b/>
          <w:bCs/>
        </w:rPr>
        <w:t>FAC SIMILE DI DOMANDA e MODELLO PRIVACY</w:t>
      </w:r>
    </w:p>
    <w:p w:rsidR="00585EDD" w:rsidRDefault="00585EDD">
      <w:pPr>
        <w:rPr>
          <w:rFonts w:ascii="Times New Roman" w:hAnsi="Times New Roman" w:cs="Times New Roman"/>
        </w:rPr>
      </w:pPr>
    </w:p>
    <w:p w:rsidR="00585EDD" w:rsidRDefault="00585EDD">
      <w:pPr>
        <w:rPr>
          <w:rFonts w:ascii="Times New Roman" w:hAnsi="Times New Roman" w:cs="Times New Roman"/>
        </w:rPr>
      </w:pPr>
    </w:p>
    <w:p w:rsidR="00585EDD" w:rsidRDefault="00585EDD">
      <w:pPr>
        <w:rPr>
          <w:rFonts w:ascii="Times New Roman" w:hAnsi="Times New Roman" w:cs="Times New Roman"/>
        </w:rPr>
      </w:pPr>
    </w:p>
    <w:p w:rsidR="00585EDD" w:rsidRDefault="00585EDD">
      <w:pPr>
        <w:rPr>
          <w:rFonts w:ascii="Times New Roman" w:hAnsi="Times New Roman" w:cs="Times New Roman"/>
        </w:rPr>
      </w:pPr>
    </w:p>
    <w:p w:rsidR="00585EDD" w:rsidRDefault="00585EDD">
      <w:pPr>
        <w:rPr>
          <w:rFonts w:ascii="Times New Roman" w:hAnsi="Times New Roman" w:cs="Times New Roman"/>
        </w:rPr>
      </w:pPr>
    </w:p>
    <w:p w:rsidR="00585EDD" w:rsidRDefault="00585EDD">
      <w:pPr>
        <w:rPr>
          <w:rFonts w:ascii="Times New Roman" w:hAnsi="Times New Roman" w:cs="Times New Roman"/>
        </w:rPr>
      </w:pPr>
    </w:p>
    <w:sectPr w:rsidR="00585EDD" w:rsidSect="00585ED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DD" w:rsidRDefault="00585ED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85EDD" w:rsidRDefault="00585ED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0000000000000000000"/>
    <w:charset w:val="00"/>
    <w:family w:val="swiss"/>
    <w:notTrueType/>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DD" w:rsidRDefault="00585EDD">
    <w:pPr>
      <w:pStyle w:val="Footer"/>
      <w:rPr>
        <w:rFonts w:ascii="Times New Roman" w:hAnsi="Times New Roman" w:cs="Times New Roman"/>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46" o:spid="_x0000_s2049" type="#_x0000_t75" style="position:absolute;margin-left:0;margin-top:-38.85pt;width:599.45pt;height:97.8pt;z-index:-251656192;visibility:visible;mso-position-horizontal:left;mso-position-horizontal-relative:page">
          <v:imagedata r:id="rId1" o:title=""/>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DD" w:rsidRDefault="00585ED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85EDD" w:rsidRDefault="00585ED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DD" w:rsidRDefault="00585EDD">
    <w:pPr>
      <w:pStyle w:val="Header"/>
      <w:jc w:val="center"/>
      <w:rPr>
        <w:rFonts w:ascii="Times New Roman" w:hAnsi="Times New Roman" w:cs="Times New Roman"/>
      </w:rPr>
    </w:pPr>
    <w:r>
      <w:rPr>
        <w:rFonts w:ascii="Times New Roman" w:hAnsi="Times New Roman" w:cs="Times New Roman"/>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479.25pt;height:7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605"/>
    <w:multiLevelType w:val="hybridMultilevel"/>
    <w:tmpl w:val="58C4AB7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12BB4575"/>
    <w:multiLevelType w:val="hybridMultilevel"/>
    <w:tmpl w:val="C7CEB668"/>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1B6F1B07"/>
    <w:multiLevelType w:val="hybridMultilevel"/>
    <w:tmpl w:val="28E658FE"/>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5ABC3167"/>
    <w:multiLevelType w:val="hybridMultilevel"/>
    <w:tmpl w:val="9102817E"/>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5C225CFF"/>
    <w:multiLevelType w:val="hybridMultilevel"/>
    <w:tmpl w:val="B6FC951E"/>
    <w:lvl w:ilvl="0" w:tplc="88DCD682">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5E1A658A"/>
    <w:multiLevelType w:val="hybridMultilevel"/>
    <w:tmpl w:val="C93A6AA8"/>
    <w:lvl w:ilvl="0" w:tplc="74E85A40">
      <w:start w:val="13"/>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6B0857E3"/>
    <w:multiLevelType w:val="hybridMultilevel"/>
    <w:tmpl w:val="AD4CC1F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EDD"/>
    <w:rsid w:val="00585E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character" w:customStyle="1" w:styleId="apple-converted-space">
    <w:name w:val="apple-converted-space"/>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auto"/>
      <w:u w:val="single"/>
    </w:rPr>
  </w:style>
  <w:style w:type="paragraph" w:styleId="ListParagraph">
    <w:name w:val="List Paragraph"/>
    <w:basedOn w:val="Normal"/>
    <w:uiPriority w:val="99"/>
    <w:qFormat/>
    <w:pPr>
      <w:ind w:left="720"/>
    </w:pPr>
  </w:style>
  <w:style w:type="paragraph" w:styleId="Caption">
    <w:name w:val="caption"/>
    <w:basedOn w:val="Normal"/>
    <w:next w:val="Normal"/>
    <w:uiPriority w:val="99"/>
    <w:qFormat/>
    <w:pPr>
      <w:autoSpaceDE w:val="0"/>
      <w:autoSpaceDN w:val="0"/>
      <w:adjustRightInd w:val="0"/>
      <w:spacing w:after="0" w:line="240" w:lineRule="auto"/>
    </w:pPr>
    <w:rPr>
      <w:rFonts w:ascii="Arial Unicode MS" w:eastAsia="Arial Unicode MS" w:hAnsi="Arial Unicode MS" w:cs="Arial Unicode MS"/>
      <w:b/>
      <w:bCs/>
      <w:sz w:val="24"/>
      <w:szCs w:val="24"/>
      <w:lang w:eastAsia="it-IT"/>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8</Pages>
  <Words>2228</Words>
  <Characters>12703</Characters>
  <Application>Microsoft Office Outlook</Application>
  <DocSecurity>0</DocSecurity>
  <Lines>0</Lines>
  <Paragraphs>0</Paragraphs>
  <ScaleCrop>false</ScaleCrop>
  <Company>Comune di Suzzara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PER L'ASSEGNAZIONE DELLE MISURE FINANZIATE CON IL FONDO PER LA NON AUTOSUFFICIENZA (F</dc:title>
  <dc:subject/>
  <dc:creator>Matteo</dc:creator>
  <cp:keywords/>
  <dc:description/>
  <cp:lastModifiedBy>rmaramotti</cp:lastModifiedBy>
  <cp:revision>5</cp:revision>
  <cp:lastPrinted>2020-05-04T13:43:00Z</cp:lastPrinted>
  <dcterms:created xsi:type="dcterms:W3CDTF">2020-05-07T15:56:00Z</dcterms:created>
  <dcterms:modified xsi:type="dcterms:W3CDTF">2020-05-15T07:35:00Z</dcterms:modified>
</cp:coreProperties>
</file>